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2E5D8A" w:val="clear"/>
            <w:tcMar>
              <w:top w:type="dxa" w:w="300"/>
              <w:left w:type="dxa" w:w="360"/>
              <w:bottom w:type="dxa" w:w="300"/>
              <w:right w:type="dxa" w:w="360"/>
            </w:tcMar>
          </w:tcPr>
          <w:p>
            <w:pPr>
              <w:spacing w:before="0" w:after="50"/>
              <w:jc w:val="center"/>
            </w:pPr>
            <w:r>
              <w:rPr>
                <w:rFonts w:ascii="Arial" w:cs="Arial" w:eastAsia="Arial" w:hAnsi="Arial"/>
                <w:b/>
                <w:bCs/>
                <w:caps/>
                <w:color w:val="A8C4E0"/>
                <w:sz w:val="18"/>
                <w:szCs w:val="18"/>
              </w:rPr>
              <w:t xml:space="preserve">CREWCIAL PARTNERS  |  2026 Sales Activation</w:t>
            </w:r>
          </w:p>
          <w:p>
            <w:pPr>
              <w:spacing w:before="0" w:after="50"/>
              <w:jc w:val="center"/>
            </w:pPr>
            <w:r>
              <w:rPr>
                <w:rFonts w:ascii="Arial" w:cs="Arial" w:eastAsia="Arial" w:hAnsi="Arial"/>
                <w:b/>
                <w:bCs/>
                <w:color w:val="FFFFFF"/>
                <w:sz w:val="40"/>
                <w:szCs w:val="40"/>
              </w:rPr>
              <w:t xml:space="preserve">PWI Executive Summary</w:t>
            </w:r>
          </w:p>
          <w:p>
            <w:pPr>
              <w:spacing w:before="0" w:after="40"/>
              <w:jc w:val="center"/>
            </w:pPr>
            <w:r>
              <w:rPr>
                <w:rFonts w:ascii="Arial" w:cs="Arial" w:eastAsia="Arial" w:hAnsi="Arial"/>
                <w:color w:val="A8C4E0"/>
                <w:sz w:val="18"/>
                <w:szCs w:val="18"/>
              </w:rPr>
              <w:t xml:space="preserve">Private Wealth Initiative  |  Strategic Framing &amp; Target Profile</w:t>
            </w:r>
          </w:p>
          <w:p>
            <w:pPr>
              <w:spacing w:before="0" w:after="0"/>
              <w:jc w:val="center"/>
            </w:pPr>
            <w:r>
              <w:rPr>
                <w:rFonts w:ascii="Arial" w:cs="Arial" w:eastAsia="Arial" w:hAnsi="Arial"/>
                <w:i/>
                <w:iCs/>
                <w:color w:val="A8C4E0"/>
                <w:sz w:val="16"/>
                <w:szCs w:val="16"/>
              </w:rPr>
              <w:t xml:space="preserve">Internal brief for leadership and consultants  |  Requires Mike Miller input before distribution</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Prepared By</w:t>
            </w:r>
          </w:p>
          <w:p>
            <w:r>
              <w:rPr>
                <w:rFonts w:ascii="Arial" w:cs="Arial" w:eastAsia="Arial" w:hAnsi="Arial"/>
                <w:b/>
                <w:bCs/>
                <w:color w:val="1B3A5C"/>
                <w:sz w:val="20"/>
                <w:szCs w:val="20"/>
              </w:rPr>
              <w:t xml:space="preserve">Business Development</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Input Required From</w:t>
            </w:r>
          </w:p>
          <w:p>
            <w:r>
              <w:rPr>
                <w:rFonts w:ascii="Arial" w:cs="Arial" w:eastAsia="Arial" w:hAnsi="Arial"/>
                <w:b/>
                <w:bCs/>
                <w:color w:val="1B3A5C"/>
                <w:sz w:val="20"/>
                <w:szCs w:val="20"/>
              </w:rPr>
              <w:t xml:space="preserve">Mike Miller (CIO)</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Status</w:t>
            </w:r>
          </w:p>
          <w:p>
            <w:r>
              <w:rPr>
                <w:rFonts w:ascii="Arial" w:cs="Arial" w:eastAsia="Arial" w:hAnsi="Arial"/>
                <w:b/>
                <w:bCs/>
                <w:color w:val="1B3A5C"/>
                <w:sz w:val="20"/>
                <w:szCs w:val="20"/>
              </w:rPr>
              <w:t xml:space="preserve">DRAFT — awaiting CIO input</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Distribution</w:t>
            </w:r>
          </w:p>
          <w:p>
            <w:r>
              <w:rPr>
                <w:rFonts w:ascii="Arial" w:cs="Arial" w:eastAsia="Arial" w:hAnsi="Arial"/>
                <w:b/>
                <w:bCs/>
                <w:color w:val="1B3A5C"/>
                <w:sz w:val="20"/>
                <w:szCs w:val="20"/>
              </w:rPr>
              <w:t xml:space="preserve">All consultants + leadership</w:t>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6080" w:sz="1"/>
              <w:left w:val="single" w:color="4A6080" w:sz="20"/>
              <w:bottom w:val="single" w:color="4A6080" w:sz="1"/>
              <w:right w:val="single" w:color="4A6080" w:sz="1"/>
            </w:tcBorders>
            <w:shd w:fill="F5F6F8" w:val="clear"/>
            <w:tcMar>
              <w:top w:type="dxa" w:w="100"/>
              <w:left w:type="dxa" w:w="160"/>
              <w:bottom w:type="dxa" w:w="100"/>
              <w:right w:type="dxa" w:w="120"/>
            </w:tcMar>
          </w:tcPr>
          <w:p>
            <w:pPr>
              <w:spacing w:before="0" w:after="60"/>
            </w:pPr>
            <w:r>
              <w:rPr>
                <w:rFonts w:ascii="Arial" w:cs="Arial" w:eastAsia="Arial" w:hAnsi="Arial"/>
                <w:b/>
                <w:bCs/>
                <w:color w:val="4A6080"/>
                <w:sz w:val="18"/>
                <w:szCs w:val="18"/>
              </w:rPr>
              <w:t xml:space="preserve">How to use this document</w:t>
            </w:r>
          </w:p>
          <w:p>
            <w:pPr>
              <w:spacing w:before="0" w:after="30"/>
            </w:pPr>
            <w:r>
              <w:rPr>
                <w:rFonts w:ascii="Arial" w:cs="Arial" w:eastAsia="Arial" w:hAnsi="Arial"/>
                <w:color w:val="4A6080"/>
                <w:sz w:val="18"/>
                <w:szCs w:val="18"/>
              </w:rPr>
              <w:t xml:space="preserve">Yellow boxes are sections that require Mike's voice before this brief is finalized. The structural framing — the opportunity thesis, the target profile, and the COI strategy — is complete. The places where only Mike can write the right words are clearly marked. Please treat everything outside the yellow boxes as ready to use.</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Opportunity</w:t>
      </w:r>
    </w:p>
    <w:p>
      <w:pPr>
        <w:spacing w:before="60" w:after="80"/>
      </w:pPr>
      <w:r>
        <w:rPr>
          <w:rFonts w:ascii="Arial" w:cs="Arial" w:eastAsia="Arial" w:hAnsi="Arial"/>
          <w:color w:val="333333"/>
          <w:sz w:val="20"/>
          <w:szCs w:val="20"/>
        </w:rPr>
        <w:t xml:space="preserve">Crewcial Partners has spent its existence serving endowments and foundations — institutions that manage assets in perpetuity, operate under committee governance, and require a level of investment sophistication that most wealth managers cannot provide. That institutional discipline is genuinely rare. And it is directly relevant to a market Crewcial has not yet formally entered.</w:t>
      </w:r>
    </w:p>
    <w:p>
      <w:pPr>
        <w:spacing w:before="60" w:after="80"/>
      </w:pPr>
      <w:r>
        <w:rPr>
          <w:rFonts w:ascii="Arial" w:cs="Arial" w:eastAsia="Arial" w:hAnsi="Arial"/>
          <w:color w:val="333333"/>
          <w:sz w:val="20"/>
          <w:szCs w:val="20"/>
        </w:rPr>
        <w:t xml:space="preserve">The private wealth market — individuals and families managing $10M to $100M+ in investable assets — faces the same underlying challenge as our institutional clients: complexity that exceeds what conventional wealth management platforms are built to handle. Concentrated positions, illiquid alternatives, multi-generational estate coordination, and investment governance that outlasts any one advisor relationship. These are institutional problems wearing personal clothing.</w:t>
      </w:r>
    </w:p>
    <w:p>
      <w:pPr>
        <w:spacing w:before="60" w:after="80"/>
      </w:pPr>
      <w:r>
        <w:rPr>
          <w:rFonts w:ascii="Arial" w:cs="Arial" w:eastAsia="Arial" w:hAnsi="Arial"/>
          <w:color w:val="333333"/>
          <w:sz w:val="20"/>
          <w:szCs w:val="20"/>
        </w:rPr>
        <w:t xml:space="preserve">The COI network we are building in 2026 — estate attorneys, regional CPAs, PE partners, family advisors — is the path into this market. It is relationship-gated by design. The individuals we are ultimately trying to reach trust their COIs more than they trust anyone reaching out cold. We enter through the people they already rely on.</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Target Client Profile</w:t>
      </w:r>
    </w:p>
    <w:p>
      <w:pPr>
        <w:spacing w:before="60" w:after="80"/>
      </w:pPr>
      <w:r>
        <w:rPr>
          <w:rFonts w:ascii="Arial" w:cs="Arial" w:eastAsia="Arial" w:hAnsi="Arial"/>
          <w:color w:val="333333"/>
          <w:sz w:val="20"/>
          <w:szCs w:val="20"/>
        </w:rPr>
        <w:t xml:space="preserve">Not every high-net-worth individual is the right Crewcial client. The following profile defines the core target for Phase 1 of the PWI initiative: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Characteristic</w:t>
            </w:r>
          </w:p>
        </w:tc>
        <w:tc>
          <w:tcPr>
            <w:tcW w:type="dxa" w:w="59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What We're Looking For</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Investable assets</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$10M–$100M+ in liquid/semi-liquid assets (excluding primary residence and operating business)</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Complexity trigger</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At least one of: liquidity event, concentrated equity position, substantial alternatives allocation, multi-generational estate plan, or philanthropic structure (DAF, private foundation)</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Governance need</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Manages investment decisions with limited institutional structure — no formal investment committee, no written IPS, or existing IPS that no longer reflects how decisions are actually made</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COI relationship</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Typically referred through an estate attorney, CPA, or PE firm partner. Direct cold outreach to HNW individuals is secondary to COI-sourced introductions.</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Geography</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Consistent with regional clusters where Crewcial consultants have COI relationships — not a national campaign</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Institutional affinity</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Ideally connected to the E&amp;F world — investment committee members, board members, or family office principals at foundations where Crewcial already has relationships</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Value Proposition — Structural</w:t>
      </w:r>
    </w:p>
    <w:p>
      <w:pPr>
        <w:spacing w:before="60" w:after="80"/>
      </w:pPr>
      <w:r>
        <w:rPr>
          <w:rFonts w:ascii="Arial" w:cs="Arial" w:eastAsia="Arial" w:hAnsi="Arial"/>
          <w:color w:val="333333"/>
          <w:sz w:val="20"/>
          <w:szCs w:val="20"/>
        </w:rPr>
        <w:t xml:space="preserve">Before Mike's specific language is added, these are the structural planks of the Crewcial value proposition for private wealth clients. They are derived from what we already do for institutional clients and are validated by the questions we expect to hear from the COI community and prospects themselves.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Value Plank</w:t>
            </w:r>
          </w:p>
        </w:tc>
        <w:tc>
          <w:tcPr>
            <w:tcW w:type="dxa" w:w="59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What It Means in Practice</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Institutional discipline applied to individual wealth</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We bring the portfolio construction rigor, governance frameworks, and due diligence processes built for endowments to clients who have the complexity but not the committee.</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Alternatives access at institutional scale</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Our relationships in private markets were built for institutions. Clients who can meet minimums access the same manager pipeline and diligence infrastructure.</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Genuinely independent perspective</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No proprietary products. No revenue-sharing with managers. No pressure to allocate to anything we don't believe in. The advice is clean.</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Coordination across the full financial picture</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We work alongside estate attorneys and CPAs, not in isolation. Investment decisions are made with tax and estate implications accounted for — not bolted on after the fact.</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Perpetuity thinking</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Our institutional clients think in decades. That long-horizon discipline changes how we approach asset allocation, risk, and liquidity — and it's exactly what complex personal wealth situations require.</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Value Proposition — Mike's Voice</w:t>
      </w:r>
    </w:p>
    <w:p>
      <w:pPr>
        <w:spacing w:before="60" w:after="80"/>
      </w:pPr>
      <w:r>
        <w:rPr>
          <w:rFonts w:ascii="Arial" w:cs="Arial" w:eastAsia="Arial" w:hAnsi="Arial"/>
          <w:color w:val="333333"/>
          <w:sz w:val="20"/>
          <w:szCs w:val="20"/>
        </w:rPr>
        <w:t xml:space="preserve">This section is where the above structural planks become a genuine narrative. Only Mike can write this. The structural framing above is the skeleton; what follows should be the living tissue — the actual investment philosophy, the specific experiences that shaped it, and the honest articulation of what Crewcial does differently and why it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is the single most important thing a prospective private wealth client should understand about how Crewcial approaches investment management?</w:t>
            </w:r>
          </w:p>
          <w:p>
            <w:pPr>
              <w:spacing w:before="0" w:after="80"/>
            </w:pPr>
            <w:r>
              <w:rPr>
                <w:rFonts w:ascii="Arial" w:cs="Arial" w:eastAsia="Arial" w:hAnsi="Arial"/>
                <w:i/>
                <w:iCs/>
                <w:color w:val="7A5500"/>
                <w:sz w:val="17"/>
                <w:szCs w:val="17"/>
              </w:rPr>
              <w:t xml:space="preserve">Not a capability list. Not a feature comparison. The thing that, if a sophisticated individual understood it clearly, would make them want to have the conversation. This becomes the opening paragraph of the pitch narrative. 3–5 sentences.</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has working with endowments and foundations taught you about managing wealth that conventional wealth managers typically don't learn?</w:t>
            </w:r>
          </w:p>
          <w:p>
            <w:pPr>
              <w:spacing w:before="0" w:after="80"/>
            </w:pPr>
            <w:r>
              <w:rPr>
                <w:rFonts w:ascii="Arial" w:cs="Arial" w:eastAsia="Arial" w:hAnsi="Arial"/>
                <w:i/>
                <w:iCs/>
                <w:color w:val="7A5500"/>
                <w:sz w:val="17"/>
                <w:szCs w:val="17"/>
              </w:rPr>
              <w:t xml:space="preserve">This is the institutional-to-individual bridge. The insight that makes our background specifically relevant to this market — not just different. 3–5 sentences. Can be drawn from a specific client experience or observation if that makes it more concrete.</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Where does Crewcial genuinely outperform, and where are we honest about limitations?</w:t>
            </w:r>
          </w:p>
          <w:p>
            <w:pPr>
              <w:spacing w:before="0" w:after="80"/>
            </w:pPr>
            <w:r>
              <w:rPr>
                <w:rFonts w:ascii="Arial" w:cs="Arial" w:eastAsia="Arial" w:hAnsi="Arial"/>
                <w:i/>
                <w:iCs/>
                <w:color w:val="7A5500"/>
                <w:sz w:val="17"/>
                <w:szCs w:val="17"/>
              </w:rPr>
              <w:t xml:space="preserve">The most credible version of this pitch includes an honest acknowledgment of what we're not. A client who understands the tradeoffs and still chooses Crewcial is a better client than one who was oversold. What should a prospective client know about where we shine and where we'd refer them elsewhere?</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COI Pitch — How We Frame the Relationship</w:t>
      </w:r>
    </w:p>
    <w:p>
      <w:pPr>
        <w:spacing w:before="60" w:after="80"/>
      </w:pPr>
      <w:r>
        <w:rPr>
          <w:rFonts w:ascii="Arial" w:cs="Arial" w:eastAsia="Arial" w:hAnsi="Arial"/>
          <w:color w:val="333333"/>
          <w:sz w:val="20"/>
          <w:szCs w:val="20"/>
        </w:rPr>
        <w:t xml:space="preserve">When we approach estate attorneys, CPAs, and other centers of influence, we are not asking them to refer clients. We are proposing a co-advisory model where institutional investment rigor complements what they already do. The framing matters enormously — advisors who feel like lead generators disengage quickly. Advisors who feel like peers in a shared client relationship become long-term partners.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Working frame for COI conversations (refine with Mike's input):</w:t>
            </w:r>
          </w:p>
          <w:p>
            <w:pPr>
              <w:spacing w:before="0" w:after="0"/>
            </w:pPr>
            <w:r>
              <w:rPr>
                <w:rFonts w:ascii="Arial" w:cs="Arial" w:eastAsia="Arial" w:hAnsi="Arial"/>
                <w:i/>
                <w:iCs/>
                <w:color w:val="333333"/>
                <w:sz w:val="20"/>
                <w:szCs w:val="20"/>
              </w:rPr>
              <w:t xml:space="preserve">"We're not trying to replace what you do. We're trying to be the investment partner you'd want alongside you for clients where the complexity has outgrown a conventional platform. The estate plan and the investment strategy have to work together — and that coordination is hard when the investment advisor isn't fluent in what you're doing on the estate side."</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"What we bring is institutional-grade infrastructure applied to individual complexity. Our clients at foundations don't get generic model portfolios. Neither should the individuals you work with who have the same kind of complexity."</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How would you personally describe the COI relationship model to a trusted estate attorney or CPA you already know?</w:t>
            </w:r>
          </w:p>
          <w:p>
            <w:pPr>
              <w:spacing w:before="0" w:after="80"/>
            </w:pPr>
            <w:r>
              <w:rPr>
                <w:rFonts w:ascii="Arial" w:cs="Arial" w:eastAsia="Arial" w:hAnsi="Arial"/>
                <w:i/>
                <w:iCs/>
                <w:color w:val="7A5500"/>
                <w:sz w:val="17"/>
                <w:szCs w:val="17"/>
              </w:rPr>
              <w:t xml:space="preserve">This will be the most-used language in Phase 1 COI outreach. If there's a version of this you've already said in conversation that landed well, reproduce it here. If not, describe it the way you'd explain it to a colleague at dinner. We'll refine from there.</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Phase 1 Scope &amp; Expectations</w:t>
      </w:r>
    </w:p>
    <w:p>
      <w:pPr>
        <w:spacing w:before="60" w:after="80"/>
      </w:pPr>
      <w:r>
        <w:rPr>
          <w:rFonts w:ascii="Arial" w:cs="Arial" w:eastAsia="Arial" w:hAnsi="Arial"/>
          <w:color w:val="333333"/>
          <w:sz w:val="20"/>
          <w:szCs w:val="20"/>
        </w:rPr>
        <w:t xml:space="preserve">The PWI initiative in 2026 is a relationship-building year, not a closing year. The right expectations heading in:</w:t>
      </w:r>
    </w:p>
    <w:p>
      <w:pPr>
        <w:pStyle w:val="ListParagraph"/>
        <w:numPr>
          <w:ilvl w:val="0"/>
          <w:numId w:val="2"/>
        </w:numPr>
        <w:spacing w:before="40" w:after="40"/>
      </w:pPr>
      <w:r>
        <w:rPr>
          <w:rFonts w:ascii="Arial" w:cs="Arial" w:eastAsia="Arial" w:hAnsi="Arial"/>
          <w:color w:val="333333"/>
          <w:sz w:val="20"/>
          <w:szCs w:val="20"/>
        </w:rPr>
        <w:t xml:space="preserve">Phase 1 (Q2–Q4 2026): Build COI relationships in each regional cluster. Target 2–3 warm COI relationships per consultant by December.</w:t>
      </w:r>
    </w:p>
    <w:p>
      <w:pPr>
        <w:pStyle w:val="ListParagraph"/>
        <w:numPr>
          <w:ilvl w:val="0"/>
          <w:numId w:val="2"/>
        </w:numPr>
        <w:spacing w:before="40" w:after="40"/>
      </w:pPr>
      <w:r>
        <w:rPr>
          <w:rFonts w:ascii="Arial" w:cs="Arial" w:eastAsia="Arial" w:hAnsi="Arial"/>
          <w:color w:val="333333"/>
          <w:sz w:val="20"/>
          <w:szCs w:val="20"/>
        </w:rPr>
        <w:t xml:space="preserve">Phase 2 (2027): COI introductions begin generating direct PWI prospect conversations. First client conversations expected.</w:t>
      </w:r>
    </w:p>
    <w:p>
      <w:pPr>
        <w:pStyle w:val="ListParagraph"/>
        <w:numPr>
          <w:ilvl w:val="0"/>
          <w:numId w:val="2"/>
        </w:numPr>
        <w:spacing w:before="40" w:after="40"/>
      </w:pPr>
      <w:r>
        <w:rPr>
          <w:rFonts w:ascii="Arial" w:cs="Arial" w:eastAsia="Arial" w:hAnsi="Arial"/>
          <w:color w:val="333333"/>
          <w:sz w:val="20"/>
          <w:szCs w:val="20"/>
        </w:rPr>
        <w:t xml:space="preserve">Phase 3 (2027–2028): First closed PWI relationships. Infrastructure stress-tested and refined.</w:t>
      </w:r>
    </w:p>
    <w:p>
      <w:pPr>
        <w:pStyle w:val="ListParagraph"/>
        <w:numPr>
          <w:ilvl w:val="0"/>
          <w:numId w:val="2"/>
        </w:numPr>
        <w:spacing w:before="40" w:after="40"/>
      </w:pPr>
      <w:r>
        <w:rPr>
          <w:rFonts w:ascii="Arial" w:cs="Arial" w:eastAsia="Arial" w:hAnsi="Arial"/>
          <w:color w:val="333333"/>
          <w:sz w:val="20"/>
          <w:szCs w:val="20"/>
        </w:rPr>
        <w:t xml:space="preserve">The KPI in 2026 is COI relationships initiated and deepened — not revenue. Anyone expecting a PWI closing in Year 1 is working with the wrong timeline.</w:t>
      </w:r>
    </w:p>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PWI Executive Summary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2026-02-22T02:42:14.406Z</dcterms:created>
  <dcterms:modified xsi:type="dcterms:W3CDTF">2026-02-22T02:42:14.407Z</dcterms:modified>
</cp:coreProperties>
</file>

<file path=docProps/custom.xml><?xml version="1.0" encoding="utf-8"?>
<Properties xmlns="http://schemas.openxmlformats.org/officeDocument/2006/custom-properties" xmlns:vt="http://schemas.openxmlformats.org/officeDocument/2006/docPropsVTypes"/>
</file>