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A5C" w:val="clear"/>
            <w:tcMar>
              <w:top w:type="dxa" w:w="320"/>
              <w:left w:type="dxa" w:w="360"/>
              <w:bottom w:type="dxa" w:w="320"/>
              <w:right w:type="dxa" w:w="360"/>
            </w:tcMar>
          </w:tcPr>
          <w:p>
            <w:pPr>
              <w:spacing w:before="0" w:after="60"/>
              <w:jc w:val="center"/>
            </w:pPr>
            <w:r>
              <w:rPr>
                <w:rFonts w:ascii="Arial" w:cs="Arial" w:eastAsia="Arial" w:hAnsi="Arial"/>
                <w:b/>
                <w:bCs/>
                <w:caps/>
                <w:color w:val="A8C4E0"/>
                <w:sz w:val="18"/>
                <w:szCs w:val="18"/>
              </w:rPr>
              <w:t xml:space="preserve">CREWCIAL PARTNERS  |  2026 Sales Activation</w:t>
            </w:r>
          </w:p>
          <w:p>
            <w:pPr>
              <w:spacing w:before="0" w:after="60"/>
              <w:jc w:val="center"/>
            </w:pPr>
            <w:r>
              <w:rPr>
                <w:rFonts w:ascii="Arial" w:cs="Arial" w:eastAsia="Arial" w:hAnsi="Arial"/>
                <w:b/>
                <w:bCs/>
                <w:color w:val="FFFFFF"/>
                <w:sz w:val="40"/>
                <w:szCs w:val="40"/>
              </w:rPr>
              <w:t xml:space="preserve">Phase 1 Sign-Off Document</w:t>
            </w:r>
          </w:p>
          <w:p>
            <w:pPr>
              <w:spacing w:before="0" w:after="0"/>
              <w:jc w:val="center"/>
            </w:pPr>
            <w:r>
              <w:rPr>
                <w:rFonts w:ascii="Arial" w:cs="Arial" w:eastAsia="Arial" w:hAnsi="Arial"/>
                <w:color w:val="A8C4E0"/>
                <w:sz w:val="18"/>
                <w:szCs w:val="18"/>
              </w:rPr>
              <w:t xml:space="preserve">2026 Sales Activation Plan  |  Policy &amp; Accountability Framework</w:t>
            </w:r>
          </w:p>
          <w:p>
            <w:pPr>
              <w:spacing w:before="60" w:after="0"/>
              <w:jc w:val="center"/>
            </w:pPr>
            <w:r>
              <w:rPr>
                <w:rFonts w:ascii="Arial" w:cs="Arial" w:eastAsia="Arial" w:hAnsi="Arial"/>
                <w:i/>
                <w:iCs/>
                <w:color w:val="A8C4E0"/>
                <w:sz w:val="16"/>
                <w:szCs w:val="16"/>
              </w:rPr>
              <w:t xml:space="preserve">GOVERNING DOCUMENT — Requires signatures from all named parties before Phase 2 launches</w:t>
            </w:r>
          </w:p>
        </w:tc>
      </w:tr>
    </w:tbl>
    <w:p>
      <w:pPr>
        <w:spacing w:before="200" w:after="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1B3A5C" w:sz="8"/>
              <w:left w:val="single" w:color="D0D5DD" w:sz="1"/>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Document Version</w:t>
            </w:r>
          </w:p>
          <w:p>
            <w:r>
              <w:rPr>
                <w:rFonts w:ascii="Arial" w:cs="Arial" w:eastAsia="Arial" w:hAnsi="Arial"/>
                <w:b/>
                <w:bCs/>
                <w:color w:val="1B3A5C"/>
                <w:sz w:val="20"/>
                <w:szCs w:val="20"/>
              </w:rPr>
              <w:t xml:space="preserve">1.0</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Prepared By</w:t>
            </w:r>
          </w:p>
          <w:p>
            <w:r>
              <w:rPr>
                <w:rFonts w:ascii="Arial" w:cs="Arial" w:eastAsia="Arial" w:hAnsi="Arial"/>
                <w:b/>
                <w:bCs/>
                <w:color w:val="1B3A5C"/>
                <w:sz w:val="20"/>
                <w:szCs w:val="20"/>
              </w:rPr>
              <w:t xml:space="preserve">Business Development (Steph)</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Date Prepared</w:t>
            </w:r>
          </w:p>
          <w:p>
            <w:r>
              <w:rPr>
                <w:rFonts w:ascii="Arial" w:cs="Arial" w:eastAsia="Arial" w:hAnsi="Arial"/>
                <w:b/>
                <w:bCs/>
                <w:color w:val="1B3A5C"/>
                <w:sz w:val="20"/>
                <w:szCs w:val="20"/>
              </w:rPr>
              <w:t xml:space="preserve">March 2026</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Status</w:t>
            </w:r>
          </w:p>
          <w:p>
            <w:r>
              <w:rPr>
                <w:rFonts w:ascii="Arial" w:cs="Arial" w:eastAsia="Arial" w:hAnsi="Arial"/>
                <w:b/>
                <w:bCs/>
                <w:color w:val="1B3A5C"/>
                <w:sz w:val="20"/>
                <w:szCs w:val="20"/>
              </w:rPr>
              <w:t xml:space="preserve">PENDING EXECUTION</w:t>
            </w:r>
          </w:p>
        </w:tc>
      </w:tr>
    </w:tbl>
    <w:p>
      <w:pPr>
        <w:spacing w:before="24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Purpose</w:t>
      </w:r>
    </w:p>
    <w:p>
      <w:pPr>
        <w:spacing w:before="60" w:after="80"/>
      </w:pPr>
      <w:r>
        <w:rPr>
          <w:rFonts w:ascii="Arial" w:cs="Arial" w:eastAsia="Arial" w:hAnsi="Arial"/>
          <w:color w:val="333333"/>
          <w:sz w:val="20"/>
          <w:szCs w:val="20"/>
        </w:rPr>
        <w:t xml:space="preserve">This document formalizes the organizational commitment to the 2026 Sales Activation Plan. It captures the agreed KPI framework, CRM policy terms, bonus weight, and escalation protocol that govern consultant accountability for the remainder of 2026. Once signed, it serves as the reference document for all performance conversations, monthly check-ins, and year-end reviews tied to the sales engagement initiative.</w:t>
      </w:r>
    </w:p>
    <w:p>
      <w:pPr>
        <w:spacing w:before="60" w:after="80"/>
      </w:pPr>
      <w:r>
        <w:rPr>
          <w:rFonts w:ascii="Arial" w:cs="Arial" w:eastAsia="Arial" w:hAnsi="Arial"/>
          <w:b/>
          <w:bCs/>
          <w:color w:val="1B3A5C"/>
          <w:sz w:val="20"/>
          <w:szCs w:val="20"/>
        </w:rPr>
        <w:t xml:space="preserve">No consultant onboarding, contact assignment, or outreach activity begins until this document is executed by all named signatories.</w:t>
      </w:r>
    </w:p>
    <w:p>
      <w:pPr>
        <w:spacing w:before="10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1 — KPI Framework</w:t>
      </w:r>
    </w:p>
    <w:p>
      <w:pPr>
        <w:spacing w:before="60" w:after="80"/>
      </w:pPr>
      <w:r>
        <w:rPr>
          <w:rFonts w:ascii="Arial" w:cs="Arial" w:eastAsia="Arial" w:hAnsi="Arial"/>
          <w:color w:val="333333"/>
          <w:sz w:val="20"/>
          <w:szCs w:val="20"/>
        </w:rPr>
        <w:t xml:space="preserve">The following monthly KPI targets apply to all participating consultants beginning April 2026. Targets were established based on best-practice benchmarks for consultative sales roles at boutique OCIO/advisory firms and are designed to be attainable in Year 1.</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1800"/>
        <w:gridCol w:w="3360"/>
      </w:tblGrid>
      <w:tr>
        <w:tc>
          <w:tcPr>
            <w:tcW w:type="dxa" w:w="42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KPI</w:t>
            </w:r>
          </w:p>
        </w:tc>
        <w:tc>
          <w:tcPr>
            <w:tcW w:type="dxa" w:w="18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Monthly Target</w:t>
            </w:r>
          </w:p>
        </w:tc>
        <w:tc>
          <w:tcPr>
            <w:tcW w:type="dxa" w:w="33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Measurement</w:t>
            </w:r>
          </w:p>
        </w:tc>
      </w:tr>
      <w:tr>
        <w:tc>
          <w:tcPr>
            <w:tcW w:type="dxa" w:w="4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Documented touchpoints (email, call, LinkedIn, in-person)</w:t>
            </w:r>
          </w:p>
        </w:tc>
        <w:tc>
          <w:tcPr>
            <w:tcW w:type="dxa" w:w="1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15</w:t>
            </w:r>
          </w:p>
        </w:tc>
        <w:tc>
          <w:tcPr>
            <w:tcW w:type="dxa" w:w="33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Logged in HubSpot within 48 hrs of each interaction</w:t>
            </w:r>
          </w:p>
        </w:tc>
      </w:tr>
      <w:tr>
        <w:tc>
          <w:tcPr>
            <w:tcW w:type="dxa" w:w="42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Qualified meetings (&gt;20 min, decision-relevant, with summary)</w:t>
            </w:r>
          </w:p>
        </w:tc>
        <w:tc>
          <w:tcPr>
            <w:tcW w:type="dxa" w:w="18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2</w:t>
            </w:r>
          </w:p>
        </w:tc>
        <w:tc>
          <w:tcPr>
            <w:tcW w:type="dxa" w:w="33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i/>
                <w:iCs/>
                <w:color w:val="555555"/>
                <w:sz w:val="18"/>
                <w:szCs w:val="18"/>
              </w:rPr>
              <w:t xml:space="preserve">HubSpot log required: contact, date, meeting notes</w:t>
            </w:r>
          </w:p>
        </w:tc>
      </w:tr>
      <w:tr>
        <w:tc>
          <w:tcPr>
            <w:tcW w:type="dxa" w:w="4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CRM hygiene — outreach logged within 48 hrs</w:t>
            </w:r>
          </w:p>
        </w:tc>
        <w:tc>
          <w:tcPr>
            <w:tcW w:type="dxa" w:w="1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100%</w:t>
            </w:r>
          </w:p>
        </w:tc>
        <w:tc>
          <w:tcPr>
            <w:tcW w:type="dxa" w:w="33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Measured via HubSpot monthly activity report</w:t>
            </w:r>
          </w:p>
        </w:tc>
      </w:tr>
      <w:tr>
        <w:tc>
          <w:tcPr>
            <w:tcW w:type="dxa" w:w="42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Email escalation sequences completed (4-touch)</w:t>
            </w:r>
          </w:p>
        </w:tc>
        <w:tc>
          <w:tcPr>
            <w:tcW w:type="dxa" w:w="18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5</w:t>
            </w:r>
          </w:p>
        </w:tc>
        <w:tc>
          <w:tcPr>
            <w:tcW w:type="dxa" w:w="33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i/>
                <w:iCs/>
                <w:color w:val="555555"/>
                <w:sz w:val="18"/>
                <w:szCs w:val="18"/>
              </w:rPr>
              <w:t xml:space="preserve">Sequence complete = Touch 4 sent or meeting booked</w:t>
            </w:r>
          </w:p>
        </w:tc>
      </w:tr>
      <w:tr>
        <w:tc>
          <w:tcPr>
            <w:tcW w:type="dxa" w:w="4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Travel prospect meetings (pre-logged + debrief)</w:t>
            </w:r>
          </w:p>
        </w:tc>
        <w:tc>
          <w:tcPr>
            <w:tcW w:type="dxa" w:w="1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1 per trip</w:t>
            </w:r>
          </w:p>
        </w:tc>
        <w:tc>
          <w:tcPr>
            <w:tcW w:type="dxa" w:w="33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Both pre-log and audio debrief required for credit</w:t>
            </w:r>
          </w:p>
        </w:tc>
      </w:tr>
      <w:tr>
        <w:tc>
          <w:tcPr>
            <w:tcW w:type="dxa" w:w="42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Post-meeting audio debriefs (all client &amp; prospect meetings)</w:t>
            </w:r>
          </w:p>
        </w:tc>
        <w:tc>
          <w:tcPr>
            <w:tcW w:type="dxa" w:w="18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100%</w:t>
            </w:r>
          </w:p>
        </w:tc>
        <w:tc>
          <w:tcPr>
            <w:tcW w:type="dxa" w:w="33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i/>
                <w:iCs/>
                <w:color w:val="555555"/>
                <w:sz w:val="18"/>
                <w:szCs w:val="18"/>
              </w:rPr>
              <w:t xml:space="preserve">Logged in HubSpot under contact record within 24 hrs</w:t>
            </w:r>
          </w:p>
        </w:tc>
      </w:tr>
      <w:tr>
        <w:tc>
          <w:tcPr>
            <w:tcW w:type="dxa" w:w="42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Content contribution per quarter</w:t>
            </w:r>
          </w:p>
        </w:tc>
        <w:tc>
          <w:tcPr>
            <w:tcW w:type="dxa" w:w="1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1 per quarter</w:t>
            </w:r>
          </w:p>
        </w:tc>
        <w:tc>
          <w:tcPr>
            <w:tcW w:type="dxa" w:w="33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Delivered at roundtable or submitted to shared tracker</w:t>
            </w:r>
          </w:p>
        </w:tc>
      </w:tr>
      <w:tr>
        <w:tc>
          <w:tcPr>
            <w:tcW w:type="dxa" w:w="42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New warm relationship per quarter</w:t>
            </w:r>
          </w:p>
        </w:tc>
        <w:tc>
          <w:tcPr>
            <w:tcW w:type="dxa" w:w="18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1 per quarter</w:t>
            </w:r>
          </w:p>
        </w:tc>
        <w:tc>
          <w:tcPr>
            <w:tcW w:type="dxa" w:w="33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i/>
                <w:iCs/>
                <w:color w:val="555555"/>
                <w:sz w:val="18"/>
                <w:szCs w:val="18"/>
              </w:rPr>
              <w:t xml:space="preserve">Outcome KPI — directional in Year 1, not punitive</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2 — Year-End Bonus Weight</w:t>
      </w:r>
    </w:p>
    <w:p>
      <w:pPr>
        <w:spacing w:before="60" w:after="80"/>
      </w:pPr>
      <w:r>
        <w:rPr>
          <w:rFonts w:ascii="Arial" w:cs="Arial" w:eastAsia="Arial" w:hAnsi="Arial"/>
          <w:color w:val="333333"/>
          <w:sz w:val="20"/>
          <w:szCs w:val="20"/>
        </w:rPr>
        <w:t xml:space="preserve">Sales engagement KPIs will represent 40% of each participating consultant's year-end discretionary bonus calculation. This weight is designed to signal the organizational seriousness of the initiative without being punitive in Year 1.</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4A6080" w:sz="1"/>
              <w:left w:val="single" w:color="4A6080" w:sz="1"/>
              <w:bottom w:val="single" w:color="4A6080" w:sz="1"/>
              <w:right w:val="single" w:color="4A6080" w:sz="1"/>
            </w:tcBorders>
            <w:shd w:fill="4A6080"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KPI Performance</w:t>
            </w:r>
          </w:p>
        </w:tc>
        <w:tc>
          <w:tcPr>
            <w:tcW w:type="dxa" w:w="3120"/>
            <w:tcBorders>
              <w:top w:val="single" w:color="4A6080" w:sz="1"/>
              <w:left w:val="single" w:color="4A6080" w:sz="1"/>
              <w:bottom w:val="single" w:color="4A6080" w:sz="1"/>
              <w:right w:val="single" w:color="4A6080" w:sz="1"/>
            </w:tcBorders>
            <w:shd w:fill="4A6080"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Rating</w:t>
            </w:r>
          </w:p>
        </w:tc>
        <w:tc>
          <w:tcPr>
            <w:tcW w:type="dxa" w:w="3120"/>
            <w:tcBorders>
              <w:top w:val="single" w:color="4A6080" w:sz="1"/>
              <w:left w:val="single" w:color="4A6080" w:sz="1"/>
              <w:bottom w:val="single" w:color="4A6080" w:sz="1"/>
              <w:right w:val="single" w:color="4A6080" w:sz="1"/>
            </w:tcBorders>
            <w:shd w:fill="4A6080"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Bonus Weight Impact</w:t>
            </w:r>
          </w:p>
        </w:tc>
      </w:tr>
      <w:tr>
        <w:tc>
          <w:tcPr>
            <w:tcW w:type="dxa" w:w="312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color w:val="333333"/>
                <w:sz w:val="18"/>
                <w:szCs w:val="18"/>
              </w:rPr>
              <w:t xml:space="preserve">90–100% of KPIs met</w:t>
            </w:r>
          </w:p>
        </w:tc>
        <w:tc>
          <w:tcPr>
            <w:tcW w:type="dxa" w:w="312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1A5C3A"/>
                <w:sz w:val="18"/>
                <w:szCs w:val="18"/>
              </w:rPr>
              <w:t xml:space="preserve">Exceeds Expectations</w:t>
            </w:r>
          </w:p>
        </w:tc>
        <w:tc>
          <w:tcPr>
            <w:tcW w:type="dxa" w:w="312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Full 40% weight credited</w:t>
            </w:r>
          </w:p>
        </w:tc>
      </w:tr>
      <w:tr>
        <w:tc>
          <w:tcPr>
            <w:tcW w:type="dxa" w:w="312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color w:val="333333"/>
                <w:sz w:val="18"/>
                <w:szCs w:val="18"/>
              </w:rPr>
              <w:t xml:space="preserve">75–89% of KPIs met</w:t>
            </w:r>
          </w:p>
        </w:tc>
        <w:tc>
          <w:tcPr>
            <w:tcW w:type="dxa" w:w="312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b/>
                <w:bCs/>
                <w:color w:val="555555"/>
                <w:sz w:val="18"/>
                <w:szCs w:val="18"/>
              </w:rPr>
              <w:t xml:space="preserve">Meets Expectations</w:t>
            </w:r>
          </w:p>
        </w:tc>
        <w:tc>
          <w:tcPr>
            <w:tcW w:type="dxa" w:w="312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i/>
                <w:iCs/>
                <w:color w:val="555555"/>
                <w:sz w:val="18"/>
                <w:szCs w:val="18"/>
              </w:rPr>
              <w:t xml:space="preserve">30–38% credited (proportional)</w:t>
            </w:r>
          </w:p>
        </w:tc>
      </w:tr>
      <w:tr>
        <w:tc>
          <w:tcPr>
            <w:tcW w:type="dxa" w:w="312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color w:val="333333"/>
                <w:sz w:val="18"/>
                <w:szCs w:val="18"/>
              </w:rPr>
              <w:t xml:space="preserve">50–74% of KPIs met</w:t>
            </w:r>
          </w:p>
        </w:tc>
        <w:tc>
          <w:tcPr>
            <w:tcW w:type="dxa" w:w="312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F59E0B"/>
                <w:sz w:val="18"/>
                <w:szCs w:val="18"/>
              </w:rPr>
              <w:t xml:space="preserve">Developing</w:t>
            </w:r>
          </w:p>
        </w:tc>
        <w:tc>
          <w:tcPr>
            <w:tcW w:type="dxa" w:w="312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555555"/>
                <w:sz w:val="18"/>
                <w:szCs w:val="18"/>
              </w:rPr>
              <w:t xml:space="preserve">15–29% credited</w:t>
            </w:r>
          </w:p>
        </w:tc>
      </w:tr>
      <w:tr>
        <w:tc>
          <w:tcPr>
            <w:tcW w:type="dxa" w:w="312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color w:val="333333"/>
                <w:sz w:val="18"/>
                <w:szCs w:val="18"/>
              </w:rPr>
              <w:t xml:space="preserve">Below 50% of KPIs met</w:t>
            </w:r>
          </w:p>
        </w:tc>
        <w:tc>
          <w:tcPr>
            <w:tcW w:type="dxa" w:w="312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b/>
                <w:bCs/>
                <w:color w:val="C0392B"/>
                <w:sz w:val="18"/>
                <w:szCs w:val="18"/>
              </w:rPr>
              <w:t xml:space="preserve">Below Expectations</w:t>
            </w:r>
          </w:p>
        </w:tc>
        <w:tc>
          <w:tcPr>
            <w:tcW w:type="dxa" w:w="312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i/>
                <w:iCs/>
                <w:color w:val="555555"/>
                <w:sz w:val="18"/>
                <w:szCs w:val="18"/>
              </w:rPr>
              <w:t xml:space="preserve">0–14% credited</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3 — CRM Policy</w:t>
      </w:r>
    </w:p>
    <w:p>
      <w:pPr>
        <w:spacing w:before="60" w:after="80"/>
      </w:pPr>
      <w:r>
        <w:rPr>
          <w:rFonts w:ascii="Arial" w:cs="Arial" w:eastAsia="Arial" w:hAnsi="Arial"/>
          <w:color w:val="333333"/>
          <w:sz w:val="20"/>
          <w:szCs w:val="20"/>
        </w:rPr>
        <w:t xml:space="preserve">HubSpot CRM is the mandatory operating system for all sales engagement activity. The following policies apply without exception to all participating consultants, effective April 1, 2026:</w:t>
      </w:r>
    </w:p>
    <w:p>
      <w:pPr>
        <w:pStyle w:val="ListParagraph"/>
        <w:numPr>
          <w:ilvl w:val="0"/>
          <w:numId w:val="2"/>
        </w:numPr>
        <w:spacing w:before="40" w:after="40"/>
      </w:pPr>
      <w:r>
        <w:rPr>
          <w:rFonts w:ascii="Arial" w:cs="Arial" w:eastAsia="Arial" w:hAnsi="Arial"/>
          <w:color w:val="333333"/>
          <w:sz w:val="20"/>
          <w:szCs w:val="20"/>
        </w:rPr>
        <w:t xml:space="preserve">All outreach — email, call, LinkedIn message, or in-person meeting — must be logged in HubSpot within 48 hours of the interaction</w:t>
      </w:r>
    </w:p>
    <w:p>
      <w:pPr>
        <w:pStyle w:val="ListParagraph"/>
        <w:numPr>
          <w:ilvl w:val="0"/>
          <w:numId w:val="2"/>
        </w:numPr>
        <w:spacing w:before="40" w:after="40"/>
      </w:pPr>
      <w:r>
        <w:rPr>
          <w:rFonts w:ascii="Arial" w:cs="Arial" w:eastAsia="Arial" w:hAnsi="Arial"/>
          <w:color w:val="333333"/>
          <w:sz w:val="20"/>
          <w:szCs w:val="20"/>
        </w:rPr>
        <w:t xml:space="preserve">All outreach emails must be sent from within HubSpot, not personal inboxes, to ensure activity tracking and sequence management</w:t>
      </w:r>
    </w:p>
    <w:p>
      <w:pPr>
        <w:pStyle w:val="ListParagraph"/>
        <w:numPr>
          <w:ilvl w:val="0"/>
          <w:numId w:val="2"/>
        </w:numPr>
        <w:spacing w:before="40" w:after="40"/>
      </w:pPr>
      <w:r>
        <w:rPr>
          <w:rFonts w:ascii="Arial" w:cs="Arial" w:eastAsia="Arial" w:hAnsi="Arial"/>
          <w:color w:val="333333"/>
          <w:sz w:val="20"/>
          <w:szCs w:val="20"/>
        </w:rPr>
        <w:t xml:space="preserve">Activity not logged in HubSpot within 48 hours does not count toward KPI satisfaction for that period, regardless of what occurred</w:t>
      </w:r>
    </w:p>
    <w:p>
      <w:pPr>
        <w:pStyle w:val="ListParagraph"/>
        <w:numPr>
          <w:ilvl w:val="0"/>
          <w:numId w:val="2"/>
        </w:numPr>
        <w:spacing w:before="40" w:after="40"/>
      </w:pPr>
      <w:r>
        <w:rPr>
          <w:rFonts w:ascii="Arial" w:cs="Arial" w:eastAsia="Arial" w:hAnsi="Arial"/>
          <w:color w:val="333333"/>
          <w:sz w:val="20"/>
          <w:szCs w:val="20"/>
        </w:rPr>
        <w:t xml:space="preserve">Each consultant is assigned a defined contact pool via the 'Sales Owner' custom field. Unassigned contacts do not count toward any consultant's KPIs</w:t>
      </w:r>
    </w:p>
    <w:p>
      <w:pPr>
        <w:pStyle w:val="ListParagraph"/>
        <w:numPr>
          <w:ilvl w:val="0"/>
          <w:numId w:val="2"/>
        </w:numPr>
        <w:spacing w:before="40" w:after="40"/>
      </w:pPr>
      <w:r>
        <w:rPr>
          <w:rFonts w:ascii="Arial" w:cs="Arial" w:eastAsia="Arial" w:hAnsi="Arial"/>
          <w:color w:val="333333"/>
          <w:sz w:val="20"/>
          <w:szCs w:val="20"/>
        </w:rPr>
        <w:t xml:space="preserve">Monthly HubSpot activity reports will be generated by BizDev and shared with leadership as part of the quarterly KPI review</w:t>
      </w:r>
    </w:p>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4 — Escalation Protocol</w:t>
      </w:r>
    </w:p>
    <w:p>
      <w:pPr>
        <w:spacing w:before="60" w:after="80"/>
      </w:pPr>
      <w:r>
        <w:rPr>
          <w:rFonts w:ascii="Arial" w:cs="Arial" w:eastAsia="Arial" w:hAnsi="Arial"/>
          <w:color w:val="333333"/>
          <w:sz w:val="20"/>
          <w:szCs w:val="20"/>
        </w:rPr>
        <w:t xml:space="preserve">The following escalation steps apply when a consultant's KPI performance falls below the Meets Expectations threshold for two or more consecutive months: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60"/>
        <w:gridCol w:w="3000"/>
        <w:gridCol w:w="1000"/>
      </w:tblGrid>
      <w:tr>
        <w:tc>
          <w:tcPr>
            <w:tcW w:type="dxa" w:w="14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Step</w:t>
            </w:r>
          </w:p>
        </w:tc>
        <w:tc>
          <w:tcPr>
            <w:tcW w:type="dxa" w:w="39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Trigger</w:t>
            </w:r>
          </w:p>
        </w:tc>
        <w:tc>
          <w:tcPr>
            <w:tcW w:type="dxa" w:w="30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Action</w:t>
            </w:r>
          </w:p>
        </w:tc>
        <w:tc>
          <w:tcPr>
            <w:tcW w:type="dxa" w:w="10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Timeline</w:t>
            </w:r>
          </w:p>
        </w:tc>
      </w:tr>
      <w:tr>
        <w:tc>
          <w:tcPr>
            <w:tcW w:type="dxa" w:w="1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Step 1</w:t>
            </w:r>
          </w:p>
        </w:tc>
        <w:tc>
          <w:tcPr>
            <w:tcW w:type="dxa" w:w="3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KPI performance below Meets Expectations in any single month</w:t>
            </w:r>
          </w:p>
        </w:tc>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BizDev conducts private 1:1 coaching session. Action plan documented.</w:t>
            </w:r>
          </w:p>
        </w:tc>
        <w:tc>
          <w:tcPr>
            <w:tcW w:type="dxa" w:w="1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888888"/>
                <w:sz w:val="16"/>
                <w:szCs w:val="16"/>
              </w:rPr>
              <w:t xml:space="preserve">Within 5 business days of month close</w:t>
            </w:r>
          </w:p>
        </w:tc>
      </w:tr>
      <w:tr>
        <w:tc>
          <w:tcPr>
            <w:tcW w:type="dxa" w:w="14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Step 2</w:t>
            </w:r>
          </w:p>
        </w:tc>
        <w:tc>
          <w:tcPr>
            <w:tcW w:type="dxa" w:w="39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Below Meets Expectations for 2 consecutive months</w:t>
            </w:r>
          </w:p>
        </w:tc>
        <w:tc>
          <w:tcPr>
            <w:tcW w:type="dxa" w:w="30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BizDev escalates to CEO with documented coaching history. Formal improvement conversation initiated.</w:t>
            </w:r>
          </w:p>
        </w:tc>
        <w:tc>
          <w:tcPr>
            <w:tcW w:type="dxa" w:w="10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i/>
                <w:iCs/>
                <w:color w:val="888888"/>
                <w:sz w:val="16"/>
                <w:szCs w:val="16"/>
              </w:rPr>
              <w:t xml:space="preserve">Month 3 start</w:t>
            </w:r>
          </w:p>
        </w:tc>
      </w:tr>
      <w:tr>
        <w:tc>
          <w:tcPr>
            <w:tcW w:type="dxa" w:w="14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pPr>
              <w:jc w:val="center"/>
            </w:pPr>
            <w:r>
              <w:rPr>
                <w:rFonts w:ascii="Arial" w:cs="Arial" w:eastAsia="Arial" w:hAnsi="Arial"/>
                <w:b/>
                <w:bCs/>
                <w:color w:val="1B3A5C"/>
                <w:sz w:val="18"/>
                <w:szCs w:val="18"/>
              </w:rPr>
              <w:t xml:space="preserve">Step 3</w:t>
            </w:r>
          </w:p>
        </w:tc>
        <w:tc>
          <w:tcPr>
            <w:tcW w:type="dxa" w:w="39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Below Meets Expectations for 3 consecutive months</w:t>
            </w:r>
          </w:p>
        </w:tc>
        <w:tc>
          <w:tcPr>
            <w:tcW w:type="dxa" w:w="3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CEO, HR, and BizDev determine appropriate action per firm policy. Sales engagement weight applied at year-end.</w:t>
            </w:r>
          </w:p>
        </w:tc>
        <w:tc>
          <w:tcPr>
            <w:tcW w:type="dxa" w:w="10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i/>
                <w:iCs/>
                <w:color w:val="888888"/>
                <w:sz w:val="16"/>
                <w:szCs w:val="16"/>
              </w:rPr>
              <w:t xml:space="preserve">Month 4 start</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5 — Acknowledgment &amp; Signatures</w:t>
      </w:r>
    </w:p>
    <w:p>
      <w:pPr>
        <w:spacing w:before="60" w:after="80"/>
      </w:pPr>
      <w:r>
        <w:rPr>
          <w:rFonts w:ascii="Arial" w:cs="Arial" w:eastAsia="Arial" w:hAnsi="Arial"/>
          <w:color w:val="333333"/>
          <w:sz w:val="20"/>
          <w:szCs w:val="20"/>
        </w:rPr>
        <w:t xml:space="preserve">By signing below, each party confirms they have read, understood, and agreed to the terms outlined in Sections 1 through 4. This document becomes effective upon receipt of all four signatures.</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D5DD" w:sz="1"/>
              <w:left w:val="single" w:color="D0D5DD" w:sz="1"/>
              <w:bottom w:val="single" w:color="D0D5DD" w:sz="1"/>
              <w:right w:val="single" w:color="D0D5DD" w:sz="1"/>
            </w:tcBorders>
            <w:shd w:fill="F5F6F8" w:val="clear"/>
            <w:tcMar>
              <w:top w:type="dxa" w:w="120"/>
              <w:left w:type="dxa" w:w="160"/>
              <w:bottom w:type="dxa" w:w="200"/>
              <w:right w:type="dxa" w:w="160"/>
            </w:tcMar>
          </w:tcPr>
          <w:p>
            <w:pPr>
              <w:spacing w:before="0" w:after="200"/>
            </w:pPr>
            <w:r>
              <w:rPr>
                <w:rFonts w:ascii="Arial" w:cs="Arial" w:eastAsia="Arial" w:hAnsi="Arial"/>
                <w:b/>
                <w:bCs/>
                <w:color w:val="1B3A5C"/>
                <w:sz w:val="20"/>
                <w:szCs w:val="20"/>
              </w:rPr>
              <w:t xml:space="preserve">Dine Grullon — Chief Executive Officer</w:t>
            </w:r>
          </w:p>
          <w:p>
            <w:pPr>
              <w:pBdr>
                <w:bottom w:val="single" w:color="4A6080" w:sz="4"/>
              </w:pBdr>
              <w:spacing w:before="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CEO, Crewcial Partners</w:t>
            </w:r>
          </w:p>
        </w:tc>
        <w:tc>
          <w:tcPr>
            <w:tcW w:type="dxa" w:w="4680"/>
            <w:tcBorders>
              <w:top w:val="single" w:color="D0D5DD" w:sz="1"/>
              <w:left w:val="single" w:color="D0D5DD" w:sz="1"/>
              <w:bottom w:val="single" w:color="D0D5DD" w:sz="1"/>
              <w:right w:val="single" w:color="D0D5DD" w:sz="1"/>
            </w:tcBorders>
            <w:shd w:fill="F5F6F8" w:val="clear"/>
            <w:tcMar>
              <w:top w:type="dxa" w:w="120"/>
              <w:left w:type="dxa" w:w="160"/>
              <w:bottom w:type="dxa" w:w="200"/>
              <w:right w:type="dxa" w:w="160"/>
            </w:tcMar>
          </w:tcPr>
          <w:p>
            <w:pPr>
              <w:spacing w:before="0" w:after="200"/>
            </w:pPr>
            <w:r>
              <w:rPr>
                <w:rFonts w:ascii="Arial" w:cs="Arial" w:eastAsia="Arial" w:hAnsi="Arial"/>
                <w:b/>
                <w:bCs/>
                <w:color w:val="1B3A5C"/>
                <w:sz w:val="20"/>
                <w:szCs w:val="20"/>
              </w:rPr>
              <w:t xml:space="preserve">HR Representative</w:t>
            </w:r>
          </w:p>
          <w:p>
            <w:pPr>
              <w:pBdr>
                <w:bottom w:val="single" w:color="4A6080" w:sz="4"/>
              </w:pBdr>
              <w:spacing w:before="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Human Resources, Crewcial Partners</w:t>
            </w:r>
          </w:p>
        </w:tc>
      </w:tr>
      <w:tr>
        <w:tc>
          <w:tcPr>
            <w:tcW w:type="dxa" w:w="4680"/>
            <w:tcBorders>
              <w:top w:val="single" w:color="D0D5DD" w:sz="1"/>
              <w:left w:val="single" w:color="D0D5DD" w:sz="1"/>
              <w:bottom w:val="single" w:color="D0D5DD" w:sz="1"/>
              <w:right w:val="single" w:color="D0D5DD" w:sz="1"/>
            </w:tcBorders>
            <w:shd w:fill="F5F6F8" w:val="clear"/>
            <w:tcMar>
              <w:top w:type="dxa" w:w="120"/>
              <w:left w:type="dxa" w:w="160"/>
              <w:bottom w:type="dxa" w:w="200"/>
              <w:right w:type="dxa" w:w="160"/>
            </w:tcMar>
          </w:tcPr>
          <w:p>
            <w:pPr>
              <w:spacing w:before="0" w:after="200"/>
            </w:pPr>
            <w:r>
              <w:rPr>
                <w:rFonts w:ascii="Arial" w:cs="Arial" w:eastAsia="Arial" w:hAnsi="Arial"/>
                <w:b/>
                <w:bCs/>
                <w:color w:val="1B3A5C"/>
                <w:sz w:val="20"/>
                <w:szCs w:val="20"/>
              </w:rPr>
              <w:t xml:space="preserve">Mike Miller — Chief Investment Officer</w:t>
            </w:r>
          </w:p>
          <w:p>
            <w:pPr>
              <w:pBdr>
                <w:bottom w:val="single" w:color="4A6080" w:sz="4"/>
              </w:pBdr>
              <w:spacing w:before="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CIO, Crewcial Partners</w:t>
            </w:r>
          </w:p>
        </w:tc>
        <w:tc>
          <w:tcPr>
            <w:tcW w:type="dxa" w:w="4680"/>
            <w:tcBorders>
              <w:top w:val="single" w:color="D0D5DD" w:sz="1"/>
              <w:left w:val="single" w:color="D0D5DD" w:sz="1"/>
              <w:bottom w:val="single" w:color="D0D5DD" w:sz="1"/>
              <w:right w:val="single" w:color="D0D5DD" w:sz="1"/>
            </w:tcBorders>
            <w:shd w:fill="F5F6F8" w:val="clear"/>
            <w:tcMar>
              <w:top w:type="dxa" w:w="120"/>
              <w:left w:type="dxa" w:w="160"/>
              <w:bottom w:type="dxa" w:w="200"/>
              <w:right w:type="dxa" w:w="160"/>
            </w:tcMar>
          </w:tcPr>
          <w:p>
            <w:pPr>
              <w:spacing w:before="0" w:after="200"/>
            </w:pPr>
            <w:r>
              <w:rPr>
                <w:rFonts w:ascii="Arial" w:cs="Arial" w:eastAsia="Arial" w:hAnsi="Arial"/>
                <w:b/>
                <w:bCs/>
                <w:color w:val="1B3A5C"/>
                <w:sz w:val="20"/>
                <w:szCs w:val="20"/>
              </w:rPr>
              <w:t xml:space="preserve">Charlie Georgalas — Senior Consultant</w:t>
            </w:r>
          </w:p>
          <w:p>
            <w:pPr>
              <w:pBdr>
                <w:bottom w:val="single" w:color="4A6080" w:sz="4"/>
              </w:pBdr>
              <w:spacing w:before="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2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Senior Consultant, Crewcial Partners</w:t>
            </w:r>
          </w:p>
        </w:tc>
      </w:tr>
    </w:tbl>
    <w:p>
      <w:pPr>
        <w:spacing w:before="80" w:after="0"/>
      </w:pPr>
      <w:r>
        <w:t xml:space="preserve"/>
      </w:r>
    </w:p>
    <w:p>
      <w:pPr>
        <w:spacing w:before="60" w:after="80"/>
      </w:pPr>
      <w:r>
        <w:rPr>
          <w:rFonts w:ascii="Arial" w:cs="Arial" w:eastAsia="Arial" w:hAnsi="Arial"/>
          <w:i/>
          <w:iCs/>
          <w:color w:val="888888"/>
          <w:sz w:val="20"/>
          <w:szCs w:val="20"/>
        </w:rPr>
        <w:t xml:space="preserve">Questions or proposed modifications to this document should be directed to Business Development prior to the Phase 2 kickoff meeting. Once executed, modifications require written agreement from all signatories.</w:t>
      </w:r>
    </w:p>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4A60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2026-02-21T23:17:47.225Z</dcterms:created>
  <dcterms:modified xsi:type="dcterms:W3CDTF">2026-02-21T23:17:47.226Z</dcterms:modified>
</cp:coreProperties>
</file>

<file path=docProps/custom.xml><?xml version="1.0" encoding="utf-8"?>
<Properties xmlns="http://schemas.openxmlformats.org/officeDocument/2006/custom-properties" xmlns:vt="http://schemas.openxmlformats.org/officeDocument/2006/docPropsVTypes"/>
</file>