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720"/>
      </w:tblGrid>
      <w:tr>
        <w:tc>
          <w:tcPr>
            <w:tcW w:type="dxa" w:w="9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5C3A" w:val="clear"/>
            <w:tcMar>
              <w:top w:type="dxa" w:w="260"/>
              <w:left w:type="dxa" w:w="360"/>
              <w:bottom w:type="dxa" w:w="260"/>
              <w:right w:type="dxa" w:w="360"/>
            </w:tcMar>
          </w:tcPr>
          <w:p>
            <w:pPr>
              <w:spacing w:before="0" w:after="50"/>
              <w:jc w:val="center"/>
            </w:pPr>
            <w:r>
              <w:rPr>
                <w:rFonts w:ascii="Arial" w:cs="Arial" w:eastAsia="Arial" w:hAnsi="Arial"/>
                <w:b/>
                <w:bCs/>
                <w:caps/>
                <w:color w:val="A8C4E0"/>
                <w:sz w:val="18"/>
                <w:szCs w:val="18"/>
              </w:rPr>
              <w:t xml:space="preserve">CREWCIAL PARTNERS  |  2026 Sales Activation</w:t>
            </w:r>
          </w:p>
          <w:p>
            <w:pPr>
              <w:spacing w:before="0" w:after="5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40"/>
                <w:szCs w:val="40"/>
              </w:rPr>
              <w:t xml:space="preserve">Phase 3 Launch Gate Checklist</w:t>
            </w:r>
          </w:p>
          <w:p>
            <w:pPr>
              <w:spacing w:before="0" w:after="40"/>
              <w:jc w:val="center"/>
            </w:pPr>
            <w:r>
              <w:rPr>
                <w:rFonts w:ascii="Arial" w:cs="Arial" w:eastAsia="Arial" w:hAnsi="Arial"/>
                <w:color w:val="A8C4E0"/>
                <w:sz w:val="18"/>
                <w:szCs w:val="18"/>
              </w:rPr>
              <w:t xml:space="preserve">Go / No-Go Criteria  |  April 1, 2026 Launch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A8C4E0"/>
                <w:sz w:val="16"/>
                <w:szCs w:val="16"/>
              </w:rPr>
              <w:t xml:space="preserve">All items must be confirmed before any consultant begins outreach</w:t>
            </w:r>
          </w:p>
        </w:tc>
      </w:tr>
    </w:tbl>
    <w:p>
      <w:pPr>
        <w:spacing w:before="200" w:after="0"/>
      </w:pPr>
      <w:r>
        <w:t xml:space="preserve"/>
      </w:r>
    </w:p>
    <w:tbl>
      <w:tblPr>
        <w:tblW w:type="dxa" w:w="972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30"/>
        <w:gridCol w:w="2430"/>
        <w:gridCol w:w="2430"/>
        <w:gridCol w:w="2430"/>
      </w:tblGrid>
      <w:tr>
        <w:tc>
          <w:tcPr>
            <w:tcW w:type="dxa" w:w="2430"/>
            <w:tcBorders>
              <w:top w:val="single" w:color="1B3A5C" w:sz="8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Gate Owner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Business Development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Sign-Off Required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Dine Grullon (CEO)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Target Launch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April 1, 2026</w:t>
            </w:r>
          </w:p>
        </w:tc>
        <w:tc>
          <w:tcPr>
            <w:tcW w:type="dxa" w:w="2430"/>
            <w:tcBorders>
              <w:top w:val="single" w:color="1B3A5C" w:sz="8"/>
              <w:left w:val="none" w:color="FFFFFF" w:sz="0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40"/>
            </w:pPr>
            <w:r>
              <w:rPr>
                <w:rFonts w:ascii="Arial" w:cs="Arial" w:eastAsia="Arial" w:hAnsi="Arial"/>
                <w:b/>
                <w:bCs/>
                <w:caps/>
                <w:color w:val="4A6080"/>
                <w:sz w:val="16"/>
                <w:szCs w:val="16"/>
              </w:rPr>
              <w:t xml:space="preserve">Status</w:t>
            </w:r>
          </w:p>
          <w:p>
            <w:r>
              <w:rPr>
                <w:rFonts w:ascii="Arial" w:cs="Arial" w:eastAsia="Arial" w:hAnsi="Arial"/>
                <w:b/>
                <w:bCs/>
                <w:color w:val="1B3A5C"/>
                <w:sz w:val="20"/>
                <w:szCs w:val="20"/>
              </w:rPr>
              <w:t xml:space="preserve">PENDING</w:t>
            </w:r>
          </w:p>
        </w:tc>
      </w:tr>
    </w:tbl>
    <w:p>
      <w:pPr>
        <w:spacing w:before="24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1A5C3A" w:sz="1"/>
              <w:left w:val="single" w:color="1A5C3A" w:sz="20"/>
              <w:bottom w:val="single" w:color="1A5C3A" w:sz="1"/>
              <w:right w:val="single" w:color="1A5C3A" w:sz="1"/>
            </w:tcBorders>
            <w:shd w:fill="E8F5EE" w:val="clear"/>
            <w:tcMar>
              <w:top w:type="dxa" w:w="100"/>
              <w:left w:type="dxa" w:w="160"/>
              <w:bottom w:type="dxa" w:w="100"/>
              <w:right w:type="dxa" w:w="12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color w:val="1A5C3A"/>
                <w:sz w:val="18"/>
                <w:szCs w:val="18"/>
              </w:rPr>
              <w:t xml:space="preserve">The Gate Standard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Phase 3 does not launch until every item on this checklist is confirmed.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Partial readiness = delayed launch. A consultant who starts outreach without HubSpot setup, without contact assignment, or without signing the policy is a liability — not an asset.</w:t>
            </w:r>
          </w:p>
          <w:p>
            <w:pPr>
              <w:spacing w:before="0" w:after="30"/>
            </w:pPr>
            <w:r>
              <w:rPr>
                <w:rFonts w:ascii="Arial" w:cs="Arial" w:eastAsia="Arial" w:hAnsi="Arial"/>
                <w:color w:val="1A5C3A"/>
                <w:sz w:val="18"/>
                <w:szCs w:val="18"/>
              </w:rPr>
              <w:t xml:space="preserve">BizDev presents this completed checklist to Dine for final go/no-go confirmation at least 3 days before the target launch date.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Part 1 — Infrastructure (BizDev Completes)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HubSpot license active for all participating consultants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Confirm in HubSpot admin: Settings → Users &amp; Teams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All 6 E&amp;F email templates built in HubSpot library ('Crewcial BD 2026' folder)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Templates → verify 4 themes, 7 templates present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'Crewcial BD 2026 — Cold Outreach' sequence built and tested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Sequences → verify 4 tasks, auto-unenroll on reply enabled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E&amp;F Question Bank playbook live and accessible from contact records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Playbooks → verify 15 questions across 5 themes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PWI Question Bank playbook live and accessible from COI/PWI contact records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Playbooks → verify 12 questions across 4 themes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COI outreach templates built in HubSpot library ('COI Outreach 2026' folder)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Templates → verify 4 COI types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Podcast outreach templates built in HubSpot library ('Podcast Outreach 2026' folder)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Templates → verify 3 templates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All contacts segmented and Sales Owner field populated for all participating consultants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Contacts → filter by Sales Owner → confirm all names assigned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Lead Warmth, Outreach Status, and Contact Type custom properties visible in all contact records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Contacts → any record → verify custom fields appear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BizDev Ops Dashboard and Leadership KPI Dashboard built and tested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Reports → Dashboards → verify both dashboards populated with live data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BizDev resource page live with links to all supporting documents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All documents uploaded, all links working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Part 2 — Governance (Leadership Completes)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Phase 1 Sign-Off Document executed with all required signatures (Dine, HR, Mike, consultant rep)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Physical or digital signatures received. Document filed.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CRM Governance Policy co-signed by all participating consultants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All signature lines complete on CRM Governance Policy doc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Year-end bonus weight formally communicated to all consultants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Either via the Sign-Off Document or separate written notice from Dine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Dine confirmed as willing to deliver the Internal Launch Message before Phase 3 start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Launch message reviewed, personalized, and scheduled for delivery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Part 3 — Consultant Readiness (BizDev Tracks)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All consultants have completed 5 HubSpot fluency proofs (from Setup Guide)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Training Completion Tracker — all 5 proofs logged for all consultants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All Consultant Input Request documents returned to BizDev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One per consultant. Filed. Insights incorporated into contact assignments.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All contact assignments confirmed and communicated to each consultant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Each consultant has received their assigned pool list in writing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Kickoff Meeting Deck reviewed and approved by Dine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Deck confirmed for presentation. All slides accurate.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Phase 2 training session completed and all attendees confirmed ready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Training Completion Tracker — Phase 2 column complete for all consultants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Part 4 — Content Pipeline (BizDev + Garrett)</w:t>
      </w:r>
    </w:p>
    <w:p>
      <w:pPr>
        <w:spacing w:before="6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At least one piece of outreach-ready content available at launch (article, newsletter, or podcast episode)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Link in BizDev resource page. Ready for consultants to use in Touch 2 or 3.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Shared Content Tracker populated with initial content ideas from Consultant Input Requests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At least 5 ideas in pipeline from pre-kickoff submissions</w:t>
            </w:r>
          </w:p>
        </w:tc>
      </w:tr>
    </w:tbl>
    <w:p>
      <w:pPr>
        <w:spacing w:before="4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"/>
        <w:gridCol w:w="5680"/>
        <w:gridCol w:w="3200"/>
      </w:tblGrid>
      <w:tr>
        <w:tc>
          <w:tcPr>
            <w:tcW w:type="dxa" w:w="4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B3A5C"/>
                <w:sz w:val="22"/>
                <w:szCs w:val="22"/>
              </w:rPr>
              <w:t xml:space="preserve">☐</w:t>
            </w:r>
          </w:p>
        </w:tc>
        <w:tc>
          <w:tcPr>
            <w:tcW w:type="dxa" w:w="568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First roundtable date confirmed on all calendars</w:t>
            </w:r>
          </w:p>
        </w:tc>
        <w:tc>
          <w:tcPr>
            <w:tcW w:type="dxa" w:w="32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888888"/>
                <w:sz w:val="17"/>
                <w:szCs w:val="17"/>
              </w:rPr>
              <w:t xml:space="preserve">Date set, calendar invites sent, advance submission template distributed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before="220" w:after="100"/>
      </w:pPr>
      <w:r>
        <w:rPr>
          <w:rFonts w:ascii="Arial" w:cs="Arial" w:eastAsia="Arial" w:hAnsi="Arial"/>
          <w:b/>
          <w:bCs/>
          <w:color w:val="4A6080"/>
          <w:sz w:val="22"/>
          <w:szCs w:val="22"/>
        </w:rPr>
        <w:t xml:space="preserve">Go / No-Go Sign-Off</w:t>
      </w:r>
    </w:p>
    <w:p>
      <w:pPr>
        <w:spacing w:before="80" w:after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960"/>
        <w:gridCol w:w="2400"/>
      </w:tblGrid>
      <w:tr>
        <w:tc>
          <w:tcPr>
            <w:tcW w:type="dxa" w:w="696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Sign-Off Party</w:t>
            </w:r>
          </w:p>
        </w:tc>
        <w:tc>
          <w:tcPr>
            <w:tcW w:type="dxa" w:w="2400"/>
            <w:tcBorders>
              <w:top w:val="single" w:color="1B3A5C" w:sz="1"/>
              <w:left w:val="single" w:color="1B3A5C" w:sz="1"/>
              <w:bottom w:val="single" w:color="1B3A5C" w:sz="1"/>
              <w:right w:val="single" w:color="1B3A5C" w:sz="1"/>
            </w:tcBorders>
            <w:shd w:fill="1B3A5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Go / No-Go</w:t>
            </w:r>
          </w:p>
        </w:tc>
      </w:tr>
      <w:tr>
        <w:tc>
          <w:tcPr>
            <w:tcW w:type="dxa" w:w="69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100"/>
              <w:left w:type="dxa" w:w="120"/>
              <w:bottom w:type="dxa" w:w="160"/>
              <w:right w:type="dxa" w:w="1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BizDev (Steph) — Infrastructure &amp; Training Gate confirmed</w:t>
            </w:r>
          </w:p>
          <w:p>
            <w:pPr>
              <w:pBdr>
                <w:bottom w:val="single" w:color="D0D5DD" w:sz="3"/>
              </w:pBdr>
              <w:spacing w:before="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Signature &amp; Date</w:t>
            </w:r>
          </w:p>
        </w:tc>
        <w:tc>
          <w:tcPr>
            <w:tcW w:type="dxa" w:w="24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☐  GO     ☐  NO-GO</w:t>
            </w:r>
          </w:p>
        </w:tc>
      </w:tr>
      <w:tr>
        <w:tc>
          <w:tcPr>
            <w:tcW w:type="dxa" w:w="696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20"/>
              <w:bottom w:type="dxa" w:w="160"/>
              <w:right w:type="dxa" w:w="12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Dine Grullon — CEO authorization to launch</w:t>
            </w:r>
          </w:p>
          <w:p>
            <w:pPr>
              <w:pBdr>
                <w:bottom w:val="single" w:color="D0D5DD" w:sz="3"/>
              </w:pBdr>
              <w:spacing w:before="0"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before="20" w:after="0"/>
            </w:pPr>
            <w:r>
              <w:rPr>
                <w:rFonts w:ascii="Arial" w:cs="Arial" w:eastAsia="Arial" w:hAnsi="Arial"/>
                <w:i/>
                <w:iCs/>
                <w:color w:val="888888"/>
                <w:sz w:val="16"/>
                <w:szCs w:val="16"/>
              </w:rPr>
              <w:t xml:space="preserve">Signature &amp; Date</w:t>
            </w:r>
          </w:p>
        </w:tc>
        <w:tc>
          <w:tcPr>
            <w:tcW w:type="dxa" w:w="2400"/>
            <w:tcBorders>
              <w:top w:val="single" w:color="D0D5DD" w:sz="1"/>
              <w:left w:val="single" w:color="D0D5DD" w:sz="1"/>
              <w:bottom w:val="single" w:color="D0D5DD" w:sz="1"/>
              <w:right w:val="single" w:color="D0D5DD" w:sz="1"/>
            </w:tcBorders>
            <w:shd w:fill="F5F6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B3A5C"/>
                <w:sz w:val="18"/>
                <w:szCs w:val="18"/>
              </w:rPr>
              <w:t xml:space="preserve">☐  GO     ☐  NO-GO</w:t>
            </w:r>
          </w:p>
        </w:tc>
      </w:tr>
    </w:tbl>
    <w:p>
      <w:pPr>
        <w:spacing w:before="80" w:after="0"/>
      </w:pPr>
      <w:r>
        <w:t xml:space="preserve"/>
      </w:r>
    </w:p>
    <w:p>
      <w:pPr>
        <w:spacing w:before="6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A 'No-Go' designation must include a written explanation of what specific item is incomplete and a revised target date. Phase 3 does not begin until a subsequent 'Go' is confirmed in writing.</w:t>
      </w:r>
    </w:p>
    <w:p>
      <w:pPr>
        <w:spacing w:before="100" w:after="0"/>
      </w:pPr>
      <w:r>
        <w:t xml:space="preserve"/>
      </w:r>
    </w:p>
    <w:p>
      <w:pPr>
        <w:pBdr>
          <w:top w:val="single" w:color="D6E4F0" w:sz="4"/>
        </w:pBdr>
        <w:spacing w:before="200" w:after="0"/>
        <w:jc w:val="center"/>
      </w:pPr>
      <w:r>
        <w:rPr>
          <w:rFonts w:ascii="Arial" w:cs="Arial" w:eastAsia="Arial" w:hAnsi="Arial"/>
          <w:i/>
          <w:iCs/>
          <w:color w:val="4A6080"/>
          <w:sz w:val="16"/>
          <w:szCs w:val="16"/>
        </w:rPr>
        <w:t xml:space="preserve">Crewcial Partners  |  Business Development  |  Confidential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  <w:rPr>
        <w:color w:val="1B3A5C"/>
      </w:rPr>
    </w:lvl>
    <w:lvl w:ilvl="1" w15:tentative="1">
      <w:start w:val="1"/>
      <w:numFmt w:val="bullet"/>
      <w:lvlText w:val="◦"/>
      <w:lvlJc w:val="left"/>
      <w:pPr>
        <w:ind w:left="1120" w:hanging="280"/>
      </w:pPr>
      <w:rPr>
        <w:color w:val="4A6080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80" w:after="120"/>
      <w:outlineLvl w:val="0"/>
    </w:pPr>
    <w:rPr>
      <w:rFonts w:ascii="Arial" w:cs="Arial" w:eastAsia="Arial" w:hAnsi="Arial"/>
      <w:b/>
      <w:bCs/>
      <w:color w:val="1B3A5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20" w:after="100"/>
      <w:outlineLvl w:val="1"/>
    </w:pPr>
    <w:rPr>
      <w:rFonts w:ascii="Arial" w:cs="Arial" w:eastAsia="Arial" w:hAnsi="Arial"/>
      <w:b/>
      <w:bCs/>
      <w:color w:val="4A6080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2026-02-22T04:40:47.053Z</dcterms:created>
  <dcterms:modified xsi:type="dcterms:W3CDTF">2026-02-22T04:40:47.053Z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