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E5D8A" w:val="clear"/>
            <w:tcMar>
              <w:top w:type="dxa" w:w="260"/>
              <w:left w:type="dxa" w:w="360"/>
              <w:bottom w:type="dxa" w:w="260"/>
              <w:right w:type="dxa" w:w="360"/>
            </w:tcMar>
          </w:tcPr>
          <w:p>
            <w:pPr>
              <w:spacing w:before="0" w:after="50"/>
              <w:jc w:val="center"/>
            </w:pPr>
            <w:r>
              <w:rPr>
                <w:rFonts w:ascii="Arial" w:cs="Arial" w:eastAsia="Arial" w:hAnsi="Arial"/>
                <w:b/>
                <w:bCs/>
                <w:caps/>
                <w:color w:val="A8C4E0"/>
                <w:sz w:val="18"/>
                <w:szCs w:val="18"/>
              </w:rPr>
              <w:t xml:space="preserve">CREWCIAL PARTNERS  |  2026 Sales Activation</w:t>
            </w:r>
          </w:p>
          <w:p>
            <w:pPr>
              <w:spacing w:before="0" w:after="5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Monthly 1:1 KPI Check-In Guide</w:t>
            </w:r>
          </w:p>
          <w:p>
            <w:pPr>
              <w:spacing w:before="0" w:after="40"/>
              <w:jc w:val="center"/>
            </w:pPr>
            <w:r>
              <w:rPr>
                <w:rFonts w:ascii="Arial" w:cs="Arial" w:eastAsia="Arial" w:hAnsi="Arial"/>
                <w:color w:val="A8C4E0"/>
                <w:sz w:val="18"/>
                <w:szCs w:val="18"/>
              </w:rPr>
              <w:t xml:space="preserve">BizDev → Consultant  |  Agenda · Scoring · Escalation Triggers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8C4E0"/>
                <w:sz w:val="16"/>
                <w:szCs w:val="16"/>
              </w:rPr>
              <w:t xml:space="preserve">First week of each month  |  15–20 minutes  |  HubSpot activity report as source document</w:t>
            </w:r>
          </w:p>
        </w:tc>
      </w:tr>
    </w:tbl>
    <w:p>
      <w:pPr>
        <w:spacing w:before="200" w:after="0"/>
      </w:pPr>
      <w:r>
        <w:t xml:space="preserve"/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30"/>
        <w:gridCol w:w="2430"/>
        <w:gridCol w:w="2430"/>
        <w:gridCol w:w="2430"/>
      </w:tblGrid>
      <w:tr>
        <w:tc>
          <w:tcPr>
            <w:tcW w:type="dxa" w:w="2430"/>
            <w:tcBorders>
              <w:top w:val="single" w:color="1B3A5C" w:sz="8"/>
              <w:left w:val="single" w:color="D0D5DD" w:sz="1"/>
              <w:bottom w:val="single" w:color="D0D5DD" w:sz="1"/>
              <w:right w:val="single" w:color="D0D5DD" w:sz="1"/>
            </w:tcBorders>
            <w:shd w:fill="F5F6F8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pPr>
              <w:spacing w:before="0" w:after="40"/>
            </w:pPr>
            <w:r>
              <w:rPr>
                <w:rFonts w:ascii="Arial" w:cs="Arial" w:eastAsia="Arial" w:hAnsi="Arial"/>
                <w:b/>
                <w:bCs/>
                <w:caps/>
                <w:color w:val="4A6080"/>
                <w:sz w:val="16"/>
                <w:szCs w:val="16"/>
              </w:rPr>
              <w:t xml:space="preserve">Owner</w:t>
            </w:r>
          </w:p>
          <w:p>
            <w:r>
              <w:rPr>
                <w:rFonts w:ascii="Arial" w:cs="Arial" w:eastAsia="Arial" w:hAnsi="Arial"/>
                <w:b/>
                <w:bCs/>
                <w:color w:val="1B3A5C"/>
                <w:sz w:val="20"/>
                <w:szCs w:val="20"/>
              </w:rPr>
              <w:t xml:space="preserve">Business Development</w:t>
            </w:r>
          </w:p>
        </w:tc>
        <w:tc>
          <w:tcPr>
            <w:tcW w:type="dxa" w:w="2430"/>
            <w:tcBorders>
              <w:top w:val="single" w:color="1B3A5C" w:sz="8"/>
              <w:left w:val="none" w:color="FFFFFF" w:sz="0"/>
              <w:bottom w:val="single" w:color="D0D5DD" w:sz="1"/>
              <w:right w:val="single" w:color="D0D5DD" w:sz="1"/>
            </w:tcBorders>
            <w:shd w:fill="F5F6F8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pPr>
              <w:spacing w:before="0" w:after="40"/>
            </w:pPr>
            <w:r>
              <w:rPr>
                <w:rFonts w:ascii="Arial" w:cs="Arial" w:eastAsia="Arial" w:hAnsi="Arial"/>
                <w:b/>
                <w:bCs/>
                <w:caps/>
                <w:color w:val="4A6080"/>
                <w:sz w:val="16"/>
                <w:szCs w:val="16"/>
              </w:rPr>
              <w:t xml:space="preserve">Format</w:t>
            </w:r>
          </w:p>
          <w:p>
            <w:r>
              <w:rPr>
                <w:rFonts w:ascii="Arial" w:cs="Arial" w:eastAsia="Arial" w:hAnsi="Arial"/>
                <w:b/>
                <w:bCs/>
                <w:color w:val="1B3A5C"/>
                <w:sz w:val="20"/>
                <w:szCs w:val="20"/>
              </w:rPr>
              <w:t xml:space="preserve">1:1 meeting or async review</w:t>
            </w:r>
          </w:p>
        </w:tc>
        <w:tc>
          <w:tcPr>
            <w:tcW w:type="dxa" w:w="2430"/>
            <w:tcBorders>
              <w:top w:val="single" w:color="1B3A5C" w:sz="8"/>
              <w:left w:val="none" w:color="FFFFFF" w:sz="0"/>
              <w:bottom w:val="single" w:color="D0D5DD" w:sz="1"/>
              <w:right w:val="single" w:color="D0D5DD" w:sz="1"/>
            </w:tcBorders>
            <w:shd w:fill="F5F6F8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pPr>
              <w:spacing w:before="0" w:after="40"/>
            </w:pPr>
            <w:r>
              <w:rPr>
                <w:rFonts w:ascii="Arial" w:cs="Arial" w:eastAsia="Arial" w:hAnsi="Arial"/>
                <w:b/>
                <w:bCs/>
                <w:caps/>
                <w:color w:val="4A6080"/>
                <w:sz w:val="16"/>
                <w:szCs w:val="16"/>
              </w:rPr>
              <w:t xml:space="preserve">Cadence</w:t>
            </w:r>
          </w:p>
          <w:p>
            <w:r>
              <w:rPr>
                <w:rFonts w:ascii="Arial" w:cs="Arial" w:eastAsia="Arial" w:hAnsi="Arial"/>
                <w:b/>
                <w:bCs/>
                <w:color w:val="1B3A5C"/>
                <w:sz w:val="20"/>
                <w:szCs w:val="20"/>
              </w:rPr>
              <w:t xml:space="preserve">First week of each month</w:t>
            </w:r>
          </w:p>
        </w:tc>
        <w:tc>
          <w:tcPr>
            <w:tcW w:type="dxa" w:w="2430"/>
            <w:tcBorders>
              <w:top w:val="single" w:color="1B3A5C" w:sz="8"/>
              <w:left w:val="none" w:color="FFFFFF" w:sz="0"/>
              <w:bottom w:val="single" w:color="D0D5DD" w:sz="1"/>
              <w:right w:val="single" w:color="D0D5DD" w:sz="1"/>
            </w:tcBorders>
            <w:shd w:fill="F5F6F8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pPr>
              <w:spacing w:before="0" w:after="40"/>
            </w:pPr>
            <w:r>
              <w:rPr>
                <w:rFonts w:ascii="Arial" w:cs="Arial" w:eastAsia="Arial" w:hAnsi="Arial"/>
                <w:b/>
                <w:bCs/>
                <w:caps/>
                <w:color w:val="4A6080"/>
                <w:sz w:val="16"/>
                <w:szCs w:val="16"/>
              </w:rPr>
              <w:t xml:space="preserve">Source Document</w:t>
            </w:r>
          </w:p>
          <w:p>
            <w:r>
              <w:rPr>
                <w:rFonts w:ascii="Arial" w:cs="Arial" w:eastAsia="Arial" w:hAnsi="Arial"/>
                <w:b/>
                <w:bCs/>
                <w:color w:val="1B3A5C"/>
                <w:sz w:val="20"/>
                <w:szCs w:val="20"/>
              </w:rPr>
              <w:t xml:space="preserve">HubSpot activity report</w:t>
            </w:r>
          </w:p>
        </w:tc>
      </w:tr>
    </w:tbl>
    <w:p>
      <w:pPr>
        <w:spacing w:before="240" w:after="0"/>
      </w:pPr>
      <w:r>
        <w:t xml:space="preserve"/>
      </w:r>
    </w:p>
    <w:p>
      <w:pPr>
        <w:pStyle w:val="Heading2"/>
        <w:pBdr>
          <w:bottom w:val="single" w:color="D6E4F0" w:sz="4" w:space="4"/>
        </w:pBdr>
        <w:spacing w:before="220" w:after="100"/>
      </w:pPr>
      <w:r>
        <w:rPr>
          <w:rFonts w:ascii="Arial" w:cs="Arial" w:eastAsia="Arial" w:hAnsi="Arial"/>
          <w:b/>
          <w:bCs/>
          <w:color w:val="4A6080"/>
          <w:sz w:val="22"/>
          <w:szCs w:val="22"/>
        </w:rPr>
        <w:t xml:space="preserve">Purpose</w:t>
      </w:r>
    </w:p>
    <w:p>
      <w:pPr>
        <w:spacing w:before="60" w:after="8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The monthly 1:1 is not a performance review. It is a working conversation between BizDev and each consultant about what's working, what's stuck, and what the next 30 days need to look like. The HubSpot activity report is the source document — not memory, not impressions. The numbers either support the narrative or they don't.</w:t>
      </w:r>
    </w:p>
    <w:p>
      <w:pPr>
        <w:spacing w:before="60" w:after="8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BizDev's job in this meeting is to be a genuine partner, not a compliance officer. The goal is to surface obstacles early so they can be addressed before they become escalation triggers.</w:t>
      </w:r>
    </w:p>
    <w:p>
      <w:pPr>
        <w:spacing w:before="160" w:after="0"/>
      </w:pPr>
      <w:r>
        <w:t xml:space="preserve"/>
      </w:r>
    </w:p>
    <w:p>
      <w:pPr>
        <w:pStyle w:val="Heading2"/>
        <w:pBdr>
          <w:bottom w:val="single" w:color="D6E4F0" w:sz="4" w:space="4"/>
        </w:pBdr>
        <w:spacing w:before="220" w:after="100"/>
      </w:pPr>
      <w:r>
        <w:rPr>
          <w:rFonts w:ascii="Arial" w:cs="Arial" w:eastAsia="Arial" w:hAnsi="Arial"/>
          <w:b/>
          <w:bCs/>
          <w:color w:val="4A6080"/>
          <w:sz w:val="22"/>
          <w:szCs w:val="22"/>
        </w:rPr>
        <w:t xml:space="preserve">Pre-Meeting Preparation (BizDev)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Pull the individual HubSpot activity report 2 days before the meeting — filter to the consultant's assigned contacts for the prior month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Calculate each KPI against target (see scoring section below)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Note any contacts with no activity in 30+ days — bring the list to the conversation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Review the prior month's check-in notes — did any action items get completed?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If the consultant had a qualified meeting last month, confirm the audio debrief was logged</w:t>
      </w:r>
    </w:p>
    <w:p>
      <w:pPr>
        <w:spacing w:before="160" w:after="0"/>
      </w:pPr>
      <w:r>
        <w:t xml:space="preserve"/>
      </w:r>
    </w:p>
    <w:p>
      <w:pPr>
        <w:pStyle w:val="Heading2"/>
        <w:pBdr>
          <w:bottom w:val="single" w:color="D6E4F0" w:sz="4" w:space="4"/>
        </w:pBdr>
        <w:spacing w:before="220" w:after="100"/>
      </w:pPr>
      <w:r>
        <w:rPr>
          <w:rFonts w:ascii="Arial" w:cs="Arial" w:eastAsia="Arial" w:hAnsi="Arial"/>
          <w:b/>
          <w:bCs/>
          <w:color w:val="4A6080"/>
          <w:sz w:val="22"/>
          <w:szCs w:val="22"/>
        </w:rPr>
        <w:t xml:space="preserve">Meeting Agenda (15–20 minutes)</w:t>
      </w:r>
    </w:p>
    <w:p>
      <w:pPr>
        <w:spacing w:before="6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0"/>
        <w:gridCol w:w="8800"/>
      </w:tblGrid>
      <w:tr>
        <w:tc>
          <w:tcPr>
            <w:tcW w:type="dxa" w:w="560"/>
            <w:tcBorders>
              <w:top w:val="single" w:color="2E5D8A" w:sz="1"/>
              <w:left w:val="single" w:color="2E5D8A" w:sz="1"/>
              <w:bottom w:val="single" w:color="2E5D8A" w:sz="1"/>
              <w:right w:val="single" w:color="2E5D8A" w:sz="1"/>
            </w:tcBorders>
            <w:shd w:fill="2E5D8A" w:val="clear"/>
            <w:tcMar>
              <w:top w:type="dxa" w:w="100"/>
              <w:left w:type="dxa" w:w="60"/>
              <w:bottom w:type="dxa" w:w="10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1</w:t>
            </w:r>
          </w:p>
        </w:tc>
        <w:tc>
          <w:tcPr>
            <w:tcW w:type="dxa" w:w="880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5F6F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before="0" w:after="60"/>
            </w:pPr>
            <w:r>
              <w:rPr>
                <w:rFonts w:ascii="Arial" w:cs="Arial" w:eastAsia="Arial" w:hAnsi="Arial"/>
                <w:b/>
                <w:bCs/>
                <w:color w:val="1B3A5C"/>
                <w:sz w:val="20"/>
                <w:szCs w:val="20"/>
              </w:rPr>
              <w:t xml:space="preserve">Numbers Review — 5 minutes</w:t>
            </w:r>
          </w:p>
          <w:p>
            <w:pPr>
              <w:spacing w:before="0" w:after="30"/>
            </w:pPr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Walk through the HubSpot activity report together. State the numbers, not your interpretation of them.</w:t>
            </w:r>
          </w:p>
          <w:p>
            <w:pPr>
              <w:spacing w:before="0" w:after="30"/>
            </w:pPr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Don't editorialize yet — just confirm both parties are looking at the same data.</w:t>
            </w:r>
          </w:p>
          <w:p>
            <w:pPr>
              <w:spacing w:before="0" w:after="30"/>
            </w:pPr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Key numbers: touchpoints, meetings booked, sequences completed, hygiene rate.</w:t>
            </w:r>
          </w:p>
        </w:tc>
      </w:tr>
    </w:tbl>
    <w:p>
      <w:pPr>
        <w:spacing w:before="6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0"/>
        <w:gridCol w:w="8800"/>
      </w:tblGrid>
      <w:tr>
        <w:tc>
          <w:tcPr>
            <w:tcW w:type="dxa" w:w="560"/>
            <w:tcBorders>
              <w:top w:val="single" w:color="2E5D8A" w:sz="1"/>
              <w:left w:val="single" w:color="2E5D8A" w:sz="1"/>
              <w:bottom w:val="single" w:color="2E5D8A" w:sz="1"/>
              <w:right w:val="single" w:color="2E5D8A" w:sz="1"/>
            </w:tcBorders>
            <w:shd w:fill="2E5D8A" w:val="clear"/>
            <w:tcMar>
              <w:top w:type="dxa" w:w="100"/>
              <w:left w:type="dxa" w:w="60"/>
              <w:bottom w:type="dxa" w:w="10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2</w:t>
            </w:r>
          </w:p>
        </w:tc>
        <w:tc>
          <w:tcPr>
            <w:tcW w:type="dxa" w:w="880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5F6F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before="0" w:after="60"/>
            </w:pPr>
            <w:r>
              <w:rPr>
                <w:rFonts w:ascii="Arial" w:cs="Arial" w:eastAsia="Arial" w:hAnsi="Arial"/>
                <w:b/>
                <w:bCs/>
                <w:color w:val="1B3A5C"/>
                <w:sz w:val="20"/>
                <w:szCs w:val="20"/>
              </w:rPr>
              <w:t xml:space="preserve">What's Working — 3 minutes</w:t>
            </w:r>
          </w:p>
          <w:p>
            <w:pPr>
              <w:spacing w:before="0" w:after="30"/>
            </w:pPr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One or two specific things that worked well this month. Attribute it specifically.</w:t>
            </w:r>
          </w:p>
          <w:p>
            <w:pPr>
              <w:spacing w:before="0" w:after="30"/>
            </w:pPr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'Your open rate on the concentration risk template was 40% — what changed?' is more useful than 'good outreach this month.'</w:t>
            </w:r>
          </w:p>
          <w:p>
            <w:pPr>
              <w:spacing w:before="0" w:after="30"/>
            </w:pPr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This is reinforcement, not flattery. If nothing worked, name that too.</w:t>
            </w:r>
          </w:p>
        </w:tc>
      </w:tr>
    </w:tbl>
    <w:p>
      <w:pPr>
        <w:spacing w:before="6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0"/>
        <w:gridCol w:w="8800"/>
      </w:tblGrid>
      <w:tr>
        <w:tc>
          <w:tcPr>
            <w:tcW w:type="dxa" w:w="560"/>
            <w:tcBorders>
              <w:top w:val="single" w:color="2E5D8A" w:sz="1"/>
              <w:left w:val="single" w:color="2E5D8A" w:sz="1"/>
              <w:bottom w:val="single" w:color="2E5D8A" w:sz="1"/>
              <w:right w:val="single" w:color="2E5D8A" w:sz="1"/>
            </w:tcBorders>
            <w:shd w:fill="2E5D8A" w:val="clear"/>
            <w:tcMar>
              <w:top w:type="dxa" w:w="100"/>
              <w:left w:type="dxa" w:w="60"/>
              <w:bottom w:type="dxa" w:w="10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3</w:t>
            </w:r>
          </w:p>
        </w:tc>
        <w:tc>
          <w:tcPr>
            <w:tcW w:type="dxa" w:w="880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5F6F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before="0" w:after="60"/>
            </w:pPr>
            <w:r>
              <w:rPr>
                <w:rFonts w:ascii="Arial" w:cs="Arial" w:eastAsia="Arial" w:hAnsi="Arial"/>
                <w:b/>
                <w:bCs/>
                <w:color w:val="1B3A5C"/>
                <w:sz w:val="20"/>
                <w:szCs w:val="20"/>
              </w:rPr>
              <w:t xml:space="preserve">What's Stuck — 5 minutes</w:t>
            </w:r>
          </w:p>
          <w:p>
            <w:pPr>
              <w:spacing w:before="0" w:after="30"/>
            </w:pPr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The most useful part of the meeting. Where did the consultant hit friction?</w:t>
            </w:r>
          </w:p>
          <w:p>
            <w:pPr>
              <w:spacing w:before="0" w:after="30"/>
            </w:pPr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Common topics: a contact who has gone cold, a sequence that isn't converting, trouble finding time to log in HubSpot.</w:t>
            </w:r>
          </w:p>
          <w:p>
            <w:pPr>
              <w:spacing w:before="0" w:after="30"/>
            </w:pPr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BizDev's role: remove the obstacle if possible. If it's a systemic issue (a template that isn't landing, an outreach theme that isn't resonating), flag it for the next roundtable.</w:t>
            </w:r>
          </w:p>
        </w:tc>
      </w:tr>
    </w:tbl>
    <w:p>
      <w:pPr>
        <w:spacing w:before="6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0"/>
        <w:gridCol w:w="8800"/>
      </w:tblGrid>
      <w:tr>
        <w:tc>
          <w:tcPr>
            <w:tcW w:type="dxa" w:w="560"/>
            <w:tcBorders>
              <w:top w:val="single" w:color="4A6080" w:sz="1"/>
              <w:left w:val="single" w:color="4A6080" w:sz="1"/>
              <w:bottom w:val="single" w:color="4A6080" w:sz="1"/>
              <w:right w:val="single" w:color="4A6080" w:sz="1"/>
            </w:tcBorders>
            <w:shd w:fill="4A6080" w:val="clear"/>
            <w:tcMar>
              <w:top w:type="dxa" w:w="100"/>
              <w:left w:type="dxa" w:w="60"/>
              <w:bottom w:type="dxa" w:w="10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4</w:t>
            </w:r>
          </w:p>
        </w:tc>
        <w:tc>
          <w:tcPr>
            <w:tcW w:type="dxa" w:w="880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5F6F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before="0" w:after="60"/>
            </w:pPr>
            <w:r>
              <w:rPr>
                <w:rFonts w:ascii="Arial" w:cs="Arial" w:eastAsia="Arial" w:hAnsi="Arial"/>
                <w:b/>
                <w:bCs/>
                <w:color w:val="1B3A5C"/>
                <w:sz w:val="20"/>
                <w:szCs w:val="20"/>
              </w:rPr>
              <w:t xml:space="preserve">Next Month's Plan — 5 minutes</w:t>
            </w:r>
          </w:p>
          <w:p>
            <w:pPr>
              <w:spacing w:before="0" w:after="30"/>
            </w:pPr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One specific commitment from the consultant. Not a goal — a commitment.</w:t>
            </w:r>
          </w:p>
          <w:p>
            <w:pPr>
              <w:spacing w:before="0" w:after="30"/>
            </w:pPr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'I will complete 3 sequences and hit 15 touchpoints' is less useful than 'I will reach out to the 5 Tier 1 contacts who haven't responded to Touch 1 and move them to Touch 2 by the 15th.'</w:t>
            </w:r>
          </w:p>
          <w:p>
            <w:pPr>
              <w:spacing w:before="0" w:after="30"/>
            </w:pPr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Log the commitment in the meeting notes. Review it at the next check-in.</w:t>
            </w:r>
          </w:p>
        </w:tc>
      </w:tr>
    </w:tbl>
    <w:p>
      <w:pPr>
        <w:spacing w:before="160" w:after="0"/>
      </w:pPr>
      <w:r>
        <w:t xml:space="preserve"/>
      </w:r>
    </w:p>
    <w:p>
      <w:pPr>
        <w:pStyle w:val="Heading2"/>
        <w:pBdr>
          <w:bottom w:val="single" w:color="D6E4F0" w:sz="4" w:space="4"/>
        </w:pBdr>
        <w:spacing w:before="220" w:after="100"/>
      </w:pPr>
      <w:r>
        <w:rPr>
          <w:rFonts w:ascii="Arial" w:cs="Arial" w:eastAsia="Arial" w:hAnsi="Arial"/>
          <w:b/>
          <w:bCs/>
          <w:color w:val="4A6080"/>
          <w:sz w:val="22"/>
          <w:szCs w:val="22"/>
        </w:rPr>
        <w:t xml:space="preserve">Scoring the Monthly KPIs</w:t>
      </w:r>
    </w:p>
    <w:p>
      <w:pPr>
        <w:spacing w:before="60" w:after="8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After the meeting, BizDev scores the month and logs the scores in the KPI Scorecard. The scoring is not discussed in the meeting — it's completed after. The meeting is a conversation, not a scorecard review.</w:t>
      </w:r>
    </w:p>
    <w:p>
      <w:pPr>
        <w:spacing w:before="6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600"/>
        <w:gridCol w:w="5560"/>
      </w:tblGrid>
      <w:tr>
        <w:tc>
          <w:tcPr>
            <w:tcW w:type="dxa" w:w="2200"/>
            <w:tcBorders>
              <w:top w:val="single" w:color="1B3A5C" w:sz="1"/>
              <w:left w:val="single" w:color="1B3A5C" w:sz="1"/>
              <w:bottom w:val="single" w:color="1B3A5C" w:sz="1"/>
              <w:right w:val="single" w:color="1B3A5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KPI</w:t>
            </w:r>
          </w:p>
        </w:tc>
        <w:tc>
          <w:tcPr>
            <w:tcW w:type="dxa" w:w="1600"/>
            <w:tcBorders>
              <w:top w:val="single" w:color="1B3A5C" w:sz="1"/>
              <w:left w:val="single" w:color="1B3A5C" w:sz="1"/>
              <w:bottom w:val="single" w:color="1B3A5C" w:sz="1"/>
              <w:right w:val="single" w:color="1B3A5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Target</w:t>
            </w:r>
          </w:p>
        </w:tc>
        <w:tc>
          <w:tcPr>
            <w:tcW w:type="dxa" w:w="5560"/>
            <w:tcBorders>
              <w:top w:val="single" w:color="1B3A5C" w:sz="1"/>
              <w:left w:val="single" w:color="1B3A5C" w:sz="1"/>
              <w:bottom w:val="single" w:color="1B3A5C" w:sz="1"/>
              <w:right w:val="single" w:color="1B3A5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How to Score</w:t>
            </w:r>
          </w:p>
        </w:tc>
      </w:tr>
      <w:tr>
        <w:tc>
          <w:tcPr>
            <w:tcW w:type="dxa" w:w="220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Touchpoints</w:t>
            </w:r>
          </w:p>
        </w:tc>
        <w:tc>
          <w:tcPr>
            <w:tcW w:type="dxa" w:w="160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15/mo</w:t>
            </w:r>
          </w:p>
        </w:tc>
        <w:tc>
          <w:tcPr>
            <w:tcW w:type="dxa" w:w="556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Count all logged activities in HubSpot for the month. 1 point per touchpoint. Max score: 15.</w:t>
            </w:r>
          </w:p>
        </w:tc>
      </w:tr>
      <w:tr>
        <w:tc>
          <w:tcPr>
            <w:tcW w:type="dxa" w:w="220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5F6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Qualified meetings</w:t>
            </w:r>
          </w:p>
        </w:tc>
        <w:tc>
          <w:tcPr>
            <w:tcW w:type="dxa" w:w="160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5F6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2/mo</w:t>
            </w:r>
          </w:p>
        </w:tc>
        <w:tc>
          <w:tcPr>
            <w:tcW w:type="dxa" w:w="556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5F6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Count meetings with a logged note in HubSpot. Without a note, it doesn't count. 1 point per meeting. Max score: 2.</w:t>
            </w:r>
          </w:p>
        </w:tc>
      </w:tr>
      <w:tr>
        <w:tc>
          <w:tcPr>
            <w:tcW w:type="dxa" w:w="220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Sequences completed</w:t>
            </w:r>
          </w:p>
        </w:tc>
        <w:tc>
          <w:tcPr>
            <w:tcW w:type="dxa" w:w="160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5/mo</w:t>
            </w:r>
          </w:p>
        </w:tc>
        <w:tc>
          <w:tcPr>
            <w:tcW w:type="dxa" w:w="556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Count sequences that reached Touch 4 or were closed earlier by a meeting booking. 1 point per sequence. Max score: 5.</w:t>
            </w:r>
          </w:p>
        </w:tc>
      </w:tr>
      <w:tr>
        <w:tc>
          <w:tcPr>
            <w:tcW w:type="dxa" w:w="220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5F6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CRM hygiene</w:t>
            </w:r>
          </w:p>
        </w:tc>
        <w:tc>
          <w:tcPr>
            <w:tcW w:type="dxa" w:w="160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5F6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100%</w:t>
            </w:r>
          </w:p>
        </w:tc>
        <w:tc>
          <w:tcPr>
            <w:tcW w:type="dxa" w:w="556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5F6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Spot-check 10 activities. Score = % logged within 48 hours. Below 80% = flag.</w:t>
            </w:r>
          </w:p>
        </w:tc>
      </w:tr>
      <w:tr>
        <w:tc>
          <w:tcPr>
            <w:tcW w:type="dxa" w:w="220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Audio debriefs</w:t>
            </w:r>
          </w:p>
        </w:tc>
        <w:tc>
          <w:tcPr>
            <w:tcW w:type="dxa" w:w="160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100%</w:t>
            </w:r>
          </w:p>
        </w:tc>
        <w:tc>
          <w:tcPr>
            <w:tcW w:type="dxa" w:w="556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Confirm debrief is logged under each qualified meeting contact record. Missing debriefs = 0% for that meeting.</w:t>
            </w:r>
          </w:p>
        </w:tc>
      </w:tr>
      <w:tr>
        <w:tc>
          <w:tcPr>
            <w:tcW w:type="dxa" w:w="220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5F6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Travel prospect meetings</w:t>
            </w:r>
          </w:p>
        </w:tc>
        <w:tc>
          <w:tcPr>
            <w:tcW w:type="dxa" w:w="160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5F6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1/trip</w:t>
            </w:r>
          </w:p>
        </w:tc>
        <w:tc>
          <w:tcPr>
            <w:tcW w:type="dxa" w:w="556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5F6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Confirm both pre-log and debrief exist. No debrief = no credit.</w:t>
            </w:r>
          </w:p>
        </w:tc>
      </w:tr>
    </w:tbl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1B3A5C" w:sz="1"/>
              <w:left w:val="single" w:color="1B3A5C" w:sz="1"/>
              <w:bottom w:val="single" w:color="1B3A5C" w:sz="1"/>
              <w:right w:val="single" w:color="1B3A5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Overall Monthly Rating</w:t>
            </w:r>
          </w:p>
        </w:tc>
        <w:tc>
          <w:tcPr>
            <w:tcW w:type="dxa" w:w="6360"/>
            <w:tcBorders>
              <w:top w:val="single" w:color="1B3A5C" w:sz="1"/>
              <w:left w:val="single" w:color="1B3A5C" w:sz="1"/>
              <w:bottom w:val="single" w:color="1B3A5C" w:sz="1"/>
              <w:right w:val="single" w:color="1B3A5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Criteria  |  Action</w:t>
            </w:r>
          </w:p>
        </w:tc>
      </w:tr>
      <w:tr>
        <w:tc>
          <w:tcPr>
            <w:tcW w:type="dxa" w:w="300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Exceeds Expectations</w:t>
            </w:r>
          </w:p>
        </w:tc>
        <w:tc>
          <w:tcPr>
            <w:tcW w:type="dxa" w:w="636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≥90% of KPI targets hit. Log in Scorecard. Share positive signal at next roundtable if consultant agrees.</w:t>
            </w:r>
          </w:p>
        </w:tc>
      </w:tr>
      <w:tr>
        <w:tc>
          <w:tcPr>
            <w:tcW w:type="dxa" w:w="300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5F6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Meets Expectations</w:t>
            </w:r>
          </w:p>
        </w:tc>
        <w:tc>
          <w:tcPr>
            <w:tcW w:type="dxa" w:w="636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5F6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75–89% of targets hit. Log in Scorecard. No escalation required.</w:t>
            </w:r>
          </w:p>
        </w:tc>
      </w:tr>
      <w:tr>
        <w:tc>
          <w:tcPr>
            <w:tcW w:type="dxa" w:w="300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Developing — Watch</w:t>
            </w:r>
          </w:p>
        </w:tc>
        <w:tc>
          <w:tcPr>
            <w:tcW w:type="dxa" w:w="636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50–74% of targets hit. Log in Scorecard. Document specific gap and action plan. Review at next check-in.</w:t>
            </w:r>
          </w:p>
        </w:tc>
      </w:tr>
      <w:tr>
        <w:tc>
          <w:tcPr>
            <w:tcW w:type="dxa" w:w="300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5F6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Below Expectations</w:t>
            </w:r>
          </w:p>
        </w:tc>
        <w:tc>
          <w:tcPr>
            <w:tcW w:type="dxa" w:w="636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5F6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&lt;50% of targets hit. Log in Scorecard. Initiate escalation Step 1 per CRM Governance Policy. Action plan required in writing.</w:t>
            </w:r>
          </w:p>
        </w:tc>
      </w:tr>
    </w:tbl>
    <w:p>
      <w:pPr>
        <w:spacing w:before="160" w:after="0"/>
      </w:pPr>
      <w:r>
        <w:t xml:space="preserve"/>
      </w:r>
    </w:p>
    <w:p>
      <w:pPr>
        <w:pStyle w:val="Heading2"/>
        <w:pBdr>
          <w:bottom w:val="single" w:color="D6E4F0" w:sz="4" w:space="4"/>
        </w:pBdr>
        <w:spacing w:before="220" w:after="100"/>
      </w:pPr>
      <w:r>
        <w:rPr>
          <w:rFonts w:ascii="Arial" w:cs="Arial" w:eastAsia="Arial" w:hAnsi="Arial"/>
          <w:b/>
          <w:bCs/>
          <w:color w:val="4A6080"/>
          <w:sz w:val="22"/>
          <w:szCs w:val="22"/>
        </w:rPr>
        <w:t xml:space="preserve">Escalation Triggers</w:t>
      </w:r>
    </w:p>
    <w:p>
      <w:pPr>
        <w:spacing w:before="60" w:after="8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The following automatically trigger escalation regardless of overall rating: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Zero qualified meetings for two consecutive months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CRM hygiene score below 60% in any single month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Audio debriefs missing from more than 50% of qualified meetings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No response to BizDev check-in requests for two consecutive months</w:t>
      </w:r>
    </w:p>
    <w:p>
      <w:pPr>
        <w:spacing w:before="60" w:after="8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Escalation protocol: see CRM Governance Policy, Section 5. First trigger = private coaching conversation with documentation. Second consecutive month = CEO escalation.</w:t>
      </w:r>
    </w:p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4A6080" w:sz="1"/>
              <w:left w:val="single" w:color="4A6080" w:sz="20"/>
              <w:bottom w:val="single" w:color="4A6080" w:sz="1"/>
              <w:right w:val="single" w:color="4A6080" w:sz="1"/>
            </w:tcBorders>
            <w:shd w:fill="F5F6F8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pPr>
              <w:spacing w:before="0" w:after="60"/>
            </w:pPr>
            <w:r>
              <w:rPr>
                <w:rFonts w:ascii="Arial" w:cs="Arial" w:eastAsia="Arial" w:hAnsi="Arial"/>
                <w:b/>
                <w:bCs/>
                <w:color w:val="4A6080"/>
                <w:sz w:val="18"/>
                <w:szCs w:val="18"/>
              </w:rPr>
              <w:t xml:space="preserve">Documentation is the job</w:t>
            </w:r>
          </w:p>
          <w:p>
            <w:pPr>
              <w:spacing w:before="0" w:after="30"/>
            </w:pPr>
            <w:r>
              <w:rPr>
                <w:rFonts w:ascii="Arial" w:cs="Arial" w:eastAsia="Arial" w:hAnsi="Arial"/>
                <w:color w:val="4A6080"/>
                <w:sz w:val="18"/>
                <w:szCs w:val="18"/>
              </w:rPr>
              <w:t xml:space="preserve">Every check-in conversation, every action plan, every escalation trigger must be documented in the consultant's KPI Scorecard file.</w:t>
            </w:r>
          </w:p>
          <w:p>
            <w:pPr>
              <w:spacing w:before="0" w:after="30"/>
            </w:pPr>
            <w:r>
              <w:rPr>
                <w:rFonts w:ascii="Arial" w:cs="Arial" w:eastAsia="Arial" w:hAnsi="Arial"/>
                <w:color w:val="4A6080"/>
                <w:sz w:val="18"/>
                <w:szCs w:val="18"/>
              </w:rPr>
              <w:t xml:space="preserve">The documentation protects everyone — BizDev, the consultant, and leadership.</w:t>
            </w:r>
          </w:p>
          <w:p>
            <w:pPr>
              <w:spacing w:before="0" w:after="30"/>
            </w:pPr>
            <w:r>
              <w:rPr>
                <w:rFonts w:ascii="Arial" w:cs="Arial" w:eastAsia="Arial" w:hAnsi="Arial"/>
                <w:color w:val="4A6080"/>
                <w:sz w:val="18"/>
                <w:szCs w:val="18"/>
              </w:rPr>
              <w:t xml:space="preserve">If it isn't written down, it didn't happen.</w:t>
            </w:r>
          </w:p>
        </w:tc>
      </w:tr>
    </w:tbl>
    <w:p>
      <w:pPr>
        <w:spacing w:before="100" w:after="0"/>
      </w:pPr>
      <w:r>
        <w:t xml:space="preserve"/>
      </w:r>
    </w:p>
    <w:p>
      <w:pPr>
        <w:pBdr>
          <w:top w:val="single" w:color="D6E4F0" w:sz="4"/>
        </w:pBdr>
        <w:spacing w:before="200" w:after="0"/>
        <w:jc w:val="center"/>
      </w:pPr>
      <w:r>
        <w:rPr>
          <w:rFonts w:ascii="Arial" w:cs="Arial" w:eastAsia="Arial" w:hAnsi="Arial"/>
          <w:i/>
          <w:iCs/>
          <w:color w:val="4A6080"/>
          <w:sz w:val="16"/>
          <w:szCs w:val="16"/>
        </w:rPr>
        <w:t xml:space="preserve">Crewcial Partners  |  Business Development  |  Confidential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  <w:rPr>
        <w:color w:val="1B3A5C"/>
      </w:rPr>
    </w:lvl>
    <w:lvl w:ilvl="1" w15:tentative="1">
      <w:start w:val="1"/>
      <w:numFmt w:val="bullet"/>
      <w:lvlText w:val="◦"/>
      <w:lvlJc w:val="left"/>
      <w:pPr>
        <w:ind w:left="1120" w:hanging="280"/>
      </w:pPr>
      <w:rPr>
        <w:color w:val="4A6080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280" w:after="120"/>
      <w:outlineLvl w:val="0"/>
    </w:pPr>
    <w:rPr>
      <w:rFonts w:ascii="Arial" w:cs="Arial" w:eastAsia="Arial" w:hAnsi="Arial"/>
      <w:b/>
      <w:bCs/>
      <w:color w:val="1B3A5C"/>
      <w:sz w:val="28"/>
      <w:szCs w:val="28"/>
    </w:rPr>
  </w:style>
  <w:style w:type="paragraph" w:styleId="Heading2">
    <w:name w:val="Heading 2"/>
    <w:basedOn w:val="Normal"/>
    <w:next w:val="Normal"/>
    <w:qFormat/>
    <w:pPr>
      <w:spacing w:before="220" w:after="100"/>
      <w:outlineLvl w:val="1"/>
    </w:pPr>
    <w:rPr>
      <w:rFonts w:ascii="Arial" w:cs="Arial" w:eastAsia="Arial" w:hAnsi="Arial"/>
      <w:b/>
      <w:bCs/>
      <w:color w:val="4A6080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2026-02-22T04:40:47.039Z</dcterms:created>
  <dcterms:modified xsi:type="dcterms:W3CDTF">2026-02-22T04:40:47.039Z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